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5AA" w:rsidRDefault="001D55AA" w:rsidP="001D55AA">
      <w:pPr>
        <w:pStyle w:val="Heading2"/>
      </w:pPr>
      <w:r>
        <w:t>PROPERTY CODE</w:t>
      </w:r>
    </w:p>
    <w:p w:rsidR="001D55AA" w:rsidRPr="00707826" w:rsidRDefault="001D55AA" w:rsidP="001D55AA">
      <w:pPr>
        <w:pStyle w:val="Heading3"/>
      </w:pPr>
      <w:r w:rsidRPr="00707826">
        <w:t>Original and exclusive jurisdiction</w:t>
      </w:r>
    </w:p>
    <w:p w:rsidR="001D55AA" w:rsidRDefault="001D55AA" w:rsidP="001D55AA">
      <w:pPr>
        <w:pStyle w:val="Quote"/>
        <w:contextualSpacing w:val="0"/>
      </w:pPr>
      <w:proofErr w:type="gramStart"/>
      <w:r w:rsidRPr="00E23D70">
        <w:t>Sec.115.001</w:t>
      </w:r>
      <w:r>
        <w:t xml:space="preserve"> </w:t>
      </w:r>
      <w:r w:rsidRPr="00E23D70">
        <w:t>JURISDICTION.</w:t>
      </w:r>
      <w:proofErr w:type="gramEnd"/>
      <w:r w:rsidRPr="00E23D70">
        <w:t xml:space="preserve"> (a) Except as provided by Subsection (d) of this section, a district court has original and exclusive jurisdiction over all proceedings by or against a trustee and all proceedings concerning trusts</w:t>
      </w:r>
    </w:p>
    <w:p w:rsidR="001D55AA" w:rsidRDefault="001D55AA" w:rsidP="001D55AA">
      <w:pPr>
        <w:pStyle w:val="Quote"/>
        <w:contextualSpacing w:val="0"/>
        <w:rPr>
          <w:b/>
        </w:rPr>
      </w:pPr>
      <w:r>
        <w:t xml:space="preserve">(c) The court may intervene in the administration of a trust to the extent that the court’s jurisdiction is invoked by an interested person or as otherwise provided by law. </w:t>
      </w:r>
      <w:r w:rsidRPr="001D55AA">
        <w:rPr>
          <w:b/>
        </w:rPr>
        <w:t>A trust is not subject to continuing judicial supervision unless the court orders continuing judicial supervision.</w:t>
      </w:r>
    </w:p>
    <w:p w:rsidR="001D55AA" w:rsidRDefault="001D55AA" w:rsidP="001D55AA">
      <w:pPr>
        <w:pStyle w:val="Quote"/>
        <w:contextualSpacing w:val="0"/>
      </w:pPr>
      <w:r>
        <w:t xml:space="preserve">(d)The jurisdiction of the district court is exclusive except for jurisdiction conferred by law on: </w:t>
      </w:r>
    </w:p>
    <w:p w:rsidR="001D55AA" w:rsidRDefault="001D55AA" w:rsidP="001D55AA">
      <w:pPr>
        <w:pStyle w:val="Quote"/>
        <w:contextualSpacing w:val="0"/>
      </w:pPr>
      <w:r>
        <w:t>(1</w:t>
      </w:r>
      <w:proofErr w:type="gramStart"/>
      <w:r>
        <w:t>)a</w:t>
      </w:r>
      <w:proofErr w:type="gramEnd"/>
      <w:r>
        <w:t xml:space="preserve"> statutory probate court;</w:t>
      </w:r>
    </w:p>
    <w:p w:rsidR="00F61723" w:rsidRPr="006C43BC" w:rsidRDefault="00F61723" w:rsidP="00F61723">
      <w:pPr>
        <w:pStyle w:val="Heading2"/>
      </w:pPr>
      <w:r>
        <w:t>ESTATES CODE</w:t>
      </w:r>
    </w:p>
    <w:p w:rsidR="00F61723" w:rsidRDefault="00F61723" w:rsidP="00F61723">
      <w:pPr>
        <w:pStyle w:val="NoSpacing"/>
      </w:pPr>
      <w:r>
        <w:t>Independent Administration §401.001 – 405.012</w:t>
      </w:r>
    </w:p>
    <w:p w:rsidR="00F61723" w:rsidRPr="00FC1C1A" w:rsidRDefault="00F61723" w:rsidP="00F61723">
      <w:pPr>
        <w:pStyle w:val="Heading3"/>
      </w:pPr>
      <w:r>
        <w:t xml:space="preserve">Estates Code 402.001 No further action </w:t>
      </w:r>
      <w:r w:rsidRPr="00FC1C1A">
        <w:t>of any nature</w:t>
      </w:r>
    </w:p>
    <w:p w:rsidR="00F61723" w:rsidRDefault="00F61723" w:rsidP="00F61723">
      <w:pPr>
        <w:pStyle w:val="Quote"/>
      </w:pPr>
      <w:proofErr w:type="gramStart"/>
      <w:r w:rsidRPr="00FC1C1A">
        <w:t>Tex. Estates Code Sec. 402.001.</w:t>
      </w:r>
      <w:proofErr w:type="gramEnd"/>
      <w:r w:rsidRPr="00FC1C1A">
        <w:t xml:space="preserve"> </w:t>
      </w:r>
      <w:proofErr w:type="gramStart"/>
      <w:r w:rsidRPr="00FC1C1A">
        <w:t>GENERAL SCOPE AND EXERCISE OF POWERS.</w:t>
      </w:r>
      <w:proofErr w:type="gramEnd"/>
      <w:r w:rsidRPr="00FC1C1A">
        <w:t xml:space="preserve"> 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 Added by Acts 2011, 82nd Leg., R.S., Ch. 1338 (S.B. 1198), Sec. 2.53</w:t>
      </w:r>
      <w:proofErr w:type="gramStart"/>
      <w:r w:rsidRPr="00FC1C1A">
        <w:t>,eff</w:t>
      </w:r>
      <w:proofErr w:type="gramEnd"/>
      <w:r w:rsidRPr="00FC1C1A">
        <w:t>. January 1, 2014.</w:t>
      </w:r>
    </w:p>
    <w:p w:rsidR="00F61723" w:rsidRDefault="00F61723" w:rsidP="00F61723">
      <w:pPr>
        <w:pStyle w:val="Heading3"/>
      </w:pPr>
      <w:r>
        <w:t xml:space="preserve">Estates Code 34.001 </w:t>
      </w:r>
      <w:r w:rsidRPr="00DA1618">
        <w:t>TRANSFER TO STATUTORY PROBATE COURT</w:t>
      </w:r>
    </w:p>
    <w:p w:rsidR="00F61723" w:rsidRDefault="00F61723" w:rsidP="00F61723">
      <w:pPr>
        <w:pStyle w:val="Bullet"/>
      </w:pPr>
      <w:r>
        <w:t xml:space="preserve">Sec. 34.001. TRANSFER TO STATUTORY PROBATE COURT OF PROCEEDING RELATED TO PROBATE PROCEEDING. (a) A judge of a statutory probate court, on the motion of a party to the action or on the motion of a person interested in an estate, may transfer to the judge's court from a district, county, or statutory court </w:t>
      </w:r>
      <w:r w:rsidRPr="00DA1618">
        <w:rPr>
          <w:u w:val="single"/>
        </w:rPr>
        <w:t>a cause of action related to a probate proceeding pending in the statutory probate court</w:t>
      </w:r>
      <w:r>
        <w:t xml:space="preserve"> </w:t>
      </w:r>
      <w:r w:rsidRPr="00DA1618">
        <w:rPr>
          <w:b/>
        </w:rPr>
        <w:t>or</w:t>
      </w:r>
      <w:r>
        <w:t xml:space="preserve"> </w:t>
      </w:r>
      <w:r w:rsidRPr="00DA1618">
        <w:rPr>
          <w:u w:val="single"/>
        </w:rPr>
        <w:t>a cause of action in which a personal representative of an estate pending in the statutory probate court is a party</w:t>
      </w:r>
      <w:r>
        <w:t xml:space="preserve"> and may consolidate the transferred cause of action with the other proceedings in the statutory probate court relating to that estate.</w:t>
      </w:r>
    </w:p>
    <w:p w:rsidR="00F61723" w:rsidRPr="005B249A" w:rsidRDefault="00F61723" w:rsidP="00F61723">
      <w:pPr>
        <w:pStyle w:val="Bullet"/>
        <w:numPr>
          <w:ilvl w:val="0"/>
          <w:numId w:val="0"/>
        </w:numPr>
        <w:ind w:left="360"/>
      </w:pPr>
      <w:r>
        <w:t xml:space="preserve">(b) Notwithstanding any other provision of this subtitle, Title 1, Chapter 51, 52, 53, 54, 55, or 151, or Section 351.001, 351.002, 351.053, 351.352, 351.353, 351.354, or 351.355, the proper venue for an action by or against a personal representative for personal injury, death, </w:t>
      </w:r>
      <w:r>
        <w:lastRenderedPageBreak/>
        <w:t xml:space="preserve">or property damages is determined under Section 15.007, Civil Practice and Remedies Code. </w:t>
      </w:r>
      <w:proofErr w:type="gramStart"/>
      <w:r>
        <w:t xml:space="preserve">Added by Acts 1983, 68th Leg., p. 5228, </w:t>
      </w:r>
      <w:proofErr w:type="spellStart"/>
      <w:r>
        <w:t>ch.</w:t>
      </w:r>
      <w:proofErr w:type="spellEnd"/>
      <w:r>
        <w:t xml:space="preserve"> 958, Sec. 1, eff. Sept.1, 1983.</w:t>
      </w:r>
      <w:proofErr w:type="gramEnd"/>
      <w:r>
        <w:t xml:space="preserve"> Amended by Acts 1999, 76th Leg., </w:t>
      </w:r>
      <w:proofErr w:type="spellStart"/>
      <w:r>
        <w:t>ch.</w:t>
      </w:r>
      <w:proofErr w:type="spellEnd"/>
      <w:r>
        <w:t xml:space="preserve"> 1431, Sec. 1, eff. Sept. 1, 1999; Acts 2003, 78th Leg., </w:t>
      </w:r>
      <w:proofErr w:type="spellStart"/>
      <w:r>
        <w:t>ch.</w:t>
      </w:r>
      <w:proofErr w:type="spellEnd"/>
      <w:r>
        <w:t xml:space="preserve"> 204, Sec. 3.06, eff. Sept.</w:t>
      </w:r>
    </w:p>
    <w:p w:rsidR="006C43BC" w:rsidRDefault="006C43BC" w:rsidP="00707826">
      <w:pPr>
        <w:pStyle w:val="Heading2"/>
      </w:pPr>
      <w:r>
        <w:t>LOCAL RULES</w:t>
      </w:r>
    </w:p>
    <w:p w:rsidR="0048135B" w:rsidRDefault="00C85ECE" w:rsidP="0048135B">
      <w:pPr>
        <w:pStyle w:val="NoSpacing"/>
        <w:numPr>
          <w:ilvl w:val="0"/>
          <w:numId w:val="44"/>
        </w:numPr>
      </w:pPr>
      <w:r>
        <w:t>Local Rule</w:t>
      </w:r>
      <w:r w:rsidR="006C43BC">
        <w:t xml:space="preserve"> 2.6.5</w:t>
      </w:r>
      <w:r w:rsidR="0048135B">
        <w:t xml:space="preserve"> No living Trusts unless pending probate / </w:t>
      </w:r>
      <w:r w:rsidR="006C43BC">
        <w:t>Case is not in the probate court /</w:t>
      </w:r>
    </w:p>
    <w:p w:rsidR="006C43BC" w:rsidRPr="006C43BC" w:rsidRDefault="006C43BC" w:rsidP="00E23D70">
      <w:pPr>
        <w:pStyle w:val="Quote"/>
      </w:pPr>
      <w:proofErr w:type="gramStart"/>
      <w:r w:rsidRPr="006C43BC">
        <w:t>Local Rule 2.</w:t>
      </w:r>
      <w:proofErr w:type="gramEnd"/>
      <w:r w:rsidRPr="006C43BC">
        <w:t xml:space="preserve"> </w:t>
      </w:r>
      <w:proofErr w:type="gramStart"/>
      <w:r w:rsidRPr="006C43BC">
        <w:t>7 New Filings.</w:t>
      </w:r>
      <w:proofErr w:type="gramEnd"/>
      <w:r w:rsidRPr="006C43BC">
        <w:t xml:space="preserve"> Those matters which are within the jurisdiction of the probate court but which are not part of a pending matter will be designated new files and assigned to a court and given a cause number as in Rule 2.2. Examples include, by description and not by way of limitation:</w:t>
      </w:r>
    </w:p>
    <w:p w:rsidR="006C43BC" w:rsidRPr="006C43BC" w:rsidRDefault="006C43BC" w:rsidP="00E23D70">
      <w:pPr>
        <w:pStyle w:val="Quote"/>
      </w:pPr>
      <w:r w:rsidRPr="006C43BC">
        <w:t xml:space="preserve">2.7.1 </w:t>
      </w:r>
      <w:proofErr w:type="spellStart"/>
      <w:proofErr w:type="gramStart"/>
      <w:r w:rsidRPr="006C43BC">
        <w:t>lnter</w:t>
      </w:r>
      <w:proofErr w:type="spellEnd"/>
      <w:proofErr w:type="gramEnd"/>
      <w:r w:rsidRPr="006C43BC">
        <w:t xml:space="preserve"> vivos Trust Action (where settlor is still living);</w:t>
      </w:r>
    </w:p>
    <w:p w:rsidR="006C43BC" w:rsidRDefault="006C43BC" w:rsidP="00E23D70">
      <w:pPr>
        <w:pStyle w:val="Quote"/>
      </w:pPr>
      <w:r w:rsidRPr="006C43BC">
        <w:t>2.7.3 Sale of a ward's interest in property;</w:t>
      </w:r>
    </w:p>
    <w:p w:rsidR="00FC1C1A" w:rsidRPr="00FC1C1A" w:rsidRDefault="00FC1C1A" w:rsidP="00E23D70">
      <w:pPr>
        <w:pStyle w:val="Quote"/>
      </w:pPr>
      <w:r>
        <w:t>Local Rule 1</w:t>
      </w:r>
      <w:r w:rsidRPr="00FC1C1A">
        <w:rPr>
          <w:color w:val="464646"/>
        </w:rPr>
        <w:t>1</w:t>
      </w:r>
      <w:r>
        <w:t>.3 Date of Setting</w:t>
      </w:r>
      <w:r w:rsidRPr="00FC1C1A">
        <w:rPr>
          <w:color w:val="464646"/>
        </w:rPr>
        <w:t xml:space="preserve">. </w:t>
      </w:r>
      <w:r>
        <w:t xml:space="preserve">Contested cases shall be set for trial </w:t>
      </w:r>
      <w:r w:rsidRPr="00FC1C1A">
        <w:rPr>
          <w:color w:val="2E2D2E"/>
        </w:rPr>
        <w:t xml:space="preserve">for a </w:t>
      </w:r>
      <w:r>
        <w:t xml:space="preserve">date certain. More than one case may be set </w:t>
      </w:r>
      <w:r w:rsidRPr="00FC1C1A">
        <w:rPr>
          <w:color w:val="2E2D2E"/>
        </w:rPr>
        <w:t xml:space="preserve">for </w:t>
      </w:r>
      <w:r>
        <w:t xml:space="preserve">the same time or day and, </w:t>
      </w:r>
      <w:r w:rsidRPr="00FC1C1A">
        <w:rPr>
          <w:color w:val="2E2D2E"/>
        </w:rPr>
        <w:t xml:space="preserve">if </w:t>
      </w:r>
      <w:r>
        <w:t>so, the cases will be heard in the order established by court</w:t>
      </w:r>
      <w:r w:rsidRPr="00FC1C1A">
        <w:rPr>
          <w:color w:val="464646"/>
        </w:rPr>
        <w:t xml:space="preserve">, </w:t>
      </w:r>
      <w:r>
        <w:t xml:space="preserve">If </w:t>
      </w:r>
      <w:r w:rsidRPr="00FC1C1A">
        <w:rPr>
          <w:color w:val="2E2D2E"/>
        </w:rPr>
        <w:t xml:space="preserve">a </w:t>
      </w:r>
      <w:r>
        <w:t xml:space="preserve">case is not assigned </w:t>
      </w:r>
      <w:r w:rsidRPr="00FC1C1A">
        <w:rPr>
          <w:color w:val="2E2D2E"/>
        </w:rPr>
        <w:t xml:space="preserve">to </w:t>
      </w:r>
      <w:r>
        <w:t xml:space="preserve">trial </w:t>
      </w:r>
      <w:r w:rsidRPr="00FC1C1A">
        <w:rPr>
          <w:color w:val="2E2D2E"/>
        </w:rPr>
        <w:t xml:space="preserve">within 10 </w:t>
      </w:r>
      <w:r>
        <w:t xml:space="preserve">days of </w:t>
      </w:r>
      <w:r w:rsidRPr="00FC1C1A">
        <w:rPr>
          <w:color w:val="2E2D2E"/>
        </w:rPr>
        <w:t xml:space="preserve">its setting </w:t>
      </w:r>
      <w:r>
        <w:t xml:space="preserve">date, the court shall conduct another </w:t>
      </w:r>
      <w:r w:rsidRPr="00FC1C1A">
        <w:rPr>
          <w:color w:val="2E2D2E"/>
        </w:rPr>
        <w:t xml:space="preserve">scheduling </w:t>
      </w:r>
      <w:r>
        <w:t xml:space="preserve">conference, set </w:t>
      </w:r>
      <w:r w:rsidRPr="00FC1C1A">
        <w:rPr>
          <w:color w:val="2E2D2E"/>
        </w:rPr>
        <w:t xml:space="preserve">a </w:t>
      </w:r>
      <w:r>
        <w:t>new trial date, or s</w:t>
      </w:r>
      <w:r w:rsidRPr="00FC1C1A">
        <w:rPr>
          <w:color w:val="464646"/>
        </w:rPr>
        <w:t>i</w:t>
      </w:r>
      <w:r>
        <w:t xml:space="preserve">gn a new docket </w:t>
      </w:r>
      <w:r w:rsidRPr="00FC1C1A">
        <w:rPr>
          <w:color w:val="2E2D2E"/>
        </w:rPr>
        <w:t xml:space="preserve">control </w:t>
      </w:r>
      <w:r>
        <w:t>order</w:t>
      </w:r>
      <w:r w:rsidRPr="00FC1C1A">
        <w:rPr>
          <w:color w:val="464646"/>
        </w:rPr>
        <w:t>.</w:t>
      </w:r>
    </w:p>
    <w:p w:rsidR="00FC1C1A" w:rsidRPr="00FC1C1A" w:rsidRDefault="00FC1C1A" w:rsidP="001D55AA">
      <w:pPr>
        <w:pStyle w:val="Heading3"/>
      </w:pPr>
      <w:r w:rsidRPr="00FC1C1A">
        <w:t>Nolle prosequi</w:t>
      </w:r>
    </w:p>
    <w:p w:rsidR="006C43BC" w:rsidRDefault="001D55AA" w:rsidP="001D55AA">
      <w:pPr>
        <w:pStyle w:val="Bullet"/>
      </w:pPr>
      <w:r>
        <w:t>Local Rule</w:t>
      </w:r>
      <w:r w:rsidR="006C43BC" w:rsidRPr="006C43BC">
        <w:t>: DISMISSAL DOCKETS</w:t>
      </w:r>
    </w:p>
    <w:p w:rsidR="006C43BC" w:rsidRPr="00FC1C1A" w:rsidRDefault="006C43BC" w:rsidP="00E23D70">
      <w:pPr>
        <w:pStyle w:val="Quote"/>
      </w:pPr>
      <w:r w:rsidRPr="00FC1C1A">
        <w:t>7</w:t>
      </w:r>
      <w:r w:rsidRPr="00FC1C1A">
        <w:rPr>
          <w:color w:val="535353"/>
        </w:rPr>
        <w:t>.</w:t>
      </w:r>
      <w:r w:rsidRPr="00FC1C1A">
        <w:rPr>
          <w:color w:val="1B1B1B"/>
        </w:rPr>
        <w:t xml:space="preserve">1 </w:t>
      </w:r>
      <w:r w:rsidRPr="00FC1C1A">
        <w:t xml:space="preserve">Want of </w:t>
      </w:r>
      <w:r w:rsidRPr="00FC1C1A">
        <w:rPr>
          <w:color w:val="1B1B1B"/>
        </w:rPr>
        <w:t>Pro</w:t>
      </w:r>
      <w:r w:rsidRPr="00FC1C1A">
        <w:rPr>
          <w:color w:val="3E3E3E"/>
        </w:rPr>
        <w:t>secutio</w:t>
      </w:r>
      <w:r w:rsidRPr="00FC1C1A">
        <w:rPr>
          <w:color w:val="1B1B1B"/>
        </w:rPr>
        <w:t xml:space="preserve">n. All </w:t>
      </w:r>
      <w:r w:rsidRPr="00FC1C1A">
        <w:t>contested cases which are not set for trial and which</w:t>
      </w:r>
      <w:r w:rsidR="00FC1C1A" w:rsidRPr="00FC1C1A">
        <w:t xml:space="preserve"> </w:t>
      </w:r>
      <w:r w:rsidRPr="00FC1C1A">
        <w:rPr>
          <w:color w:val="1B1B1B"/>
        </w:rPr>
        <w:t xml:space="preserve">have </w:t>
      </w:r>
      <w:r w:rsidRPr="00FC1C1A">
        <w:t xml:space="preserve">been on </w:t>
      </w:r>
      <w:r w:rsidRPr="00FC1C1A">
        <w:rPr>
          <w:color w:val="1B1B1B"/>
        </w:rPr>
        <w:t xml:space="preserve">file </w:t>
      </w:r>
      <w:r w:rsidRPr="00FC1C1A">
        <w:t xml:space="preserve">for </w:t>
      </w:r>
      <w:r w:rsidRPr="00FC1C1A">
        <w:rPr>
          <w:color w:val="1B1B1B"/>
        </w:rPr>
        <w:t xml:space="preserve">more </w:t>
      </w:r>
      <w:r w:rsidRPr="00FC1C1A">
        <w:t xml:space="preserve">than three (3) years are subject </w:t>
      </w:r>
      <w:r w:rsidRPr="00FC1C1A">
        <w:rPr>
          <w:color w:val="1B1B1B"/>
        </w:rPr>
        <w:t xml:space="preserve">to </w:t>
      </w:r>
      <w:r w:rsidRPr="00FC1C1A">
        <w:t xml:space="preserve">dismissal. Upon </w:t>
      </w:r>
      <w:r w:rsidRPr="00FC1C1A">
        <w:rPr>
          <w:color w:val="1B1B1B"/>
        </w:rPr>
        <w:t xml:space="preserve">request </w:t>
      </w:r>
      <w:r w:rsidRPr="00FC1C1A">
        <w:t>of the</w:t>
      </w:r>
      <w:r w:rsidR="00FC1C1A" w:rsidRPr="00FC1C1A">
        <w:t xml:space="preserve"> </w:t>
      </w:r>
      <w:r w:rsidRPr="00FC1C1A">
        <w:t xml:space="preserve">court, the court staff </w:t>
      </w:r>
      <w:r w:rsidRPr="00FC1C1A">
        <w:rPr>
          <w:color w:val="1B1B1B"/>
        </w:rPr>
        <w:t xml:space="preserve">shall furnish notice </w:t>
      </w:r>
      <w:r w:rsidRPr="00FC1C1A">
        <w:t xml:space="preserve">to all </w:t>
      </w:r>
      <w:r w:rsidRPr="00FC1C1A">
        <w:rPr>
          <w:color w:val="1B1B1B"/>
        </w:rPr>
        <w:t xml:space="preserve">parties </w:t>
      </w:r>
      <w:r w:rsidRPr="00FC1C1A">
        <w:t>and their counsel that any contested case</w:t>
      </w:r>
      <w:r w:rsidR="00FC1C1A" w:rsidRPr="00FC1C1A">
        <w:t xml:space="preserve"> </w:t>
      </w:r>
      <w:r w:rsidRPr="00FC1C1A">
        <w:t xml:space="preserve">will </w:t>
      </w:r>
      <w:r w:rsidRPr="00FC1C1A">
        <w:rPr>
          <w:color w:val="1B1B1B"/>
        </w:rPr>
        <w:t xml:space="preserve">be </w:t>
      </w:r>
      <w:r w:rsidRPr="00FC1C1A">
        <w:t xml:space="preserve">dismissed for </w:t>
      </w:r>
      <w:r w:rsidRPr="00FC1C1A">
        <w:rPr>
          <w:color w:val="1B1B1B"/>
        </w:rPr>
        <w:t xml:space="preserve">want of prosecution pursuant to the </w:t>
      </w:r>
      <w:r w:rsidRPr="00FC1C1A">
        <w:t xml:space="preserve">provisions of </w:t>
      </w:r>
      <w:r w:rsidRPr="00FC1C1A">
        <w:rPr>
          <w:color w:val="1B1B1B"/>
        </w:rPr>
        <w:t xml:space="preserve">Rule </w:t>
      </w:r>
      <w:r w:rsidRPr="00FC1C1A">
        <w:t xml:space="preserve">165a </w:t>
      </w:r>
      <w:r w:rsidRPr="00FC1C1A">
        <w:rPr>
          <w:color w:val="1B1B1B"/>
        </w:rPr>
        <w:t xml:space="preserve">of </w:t>
      </w:r>
      <w:r w:rsidRPr="00FC1C1A">
        <w:t xml:space="preserve">the </w:t>
      </w:r>
      <w:r w:rsidRPr="00FC1C1A">
        <w:rPr>
          <w:color w:val="1B1B1B"/>
        </w:rPr>
        <w:t>Texas</w:t>
      </w:r>
      <w:r w:rsidR="00FC1C1A" w:rsidRPr="00FC1C1A">
        <w:rPr>
          <w:color w:val="1B1B1B"/>
        </w:rPr>
        <w:t xml:space="preserve"> </w:t>
      </w:r>
      <w:r w:rsidRPr="00FC1C1A">
        <w:rPr>
          <w:color w:val="1B1B1B"/>
        </w:rPr>
        <w:t>Rules of Civil Procedure</w:t>
      </w:r>
      <w:r w:rsidRPr="00FC1C1A">
        <w:rPr>
          <w:color w:val="4D4D4D"/>
        </w:rPr>
        <w:t xml:space="preserve">. </w:t>
      </w:r>
      <w:r w:rsidRPr="00FC1C1A">
        <w:rPr>
          <w:color w:val="1B1B1B"/>
        </w:rPr>
        <w:t>The procedures for notice of d</w:t>
      </w:r>
      <w:r w:rsidRPr="00FC1C1A">
        <w:rPr>
          <w:color w:val="343434"/>
        </w:rPr>
        <w:t>i</w:t>
      </w:r>
      <w:r w:rsidRPr="00FC1C1A">
        <w:rPr>
          <w:color w:val="1B1B1B"/>
        </w:rPr>
        <w:t>smissal and retention shall be in compliance with Rules l65a and 306a of</w:t>
      </w:r>
      <w:r w:rsidR="00FC1C1A" w:rsidRPr="00FC1C1A">
        <w:rPr>
          <w:color w:val="1B1B1B"/>
        </w:rPr>
        <w:t xml:space="preserve"> </w:t>
      </w:r>
      <w:r w:rsidRPr="00FC1C1A">
        <w:rPr>
          <w:color w:val="1B1B1B"/>
        </w:rPr>
        <w:t>the Texas Rules of Civil Procedure</w:t>
      </w:r>
      <w:r w:rsidRPr="00FC1C1A">
        <w:rPr>
          <w:color w:val="343434"/>
        </w:rPr>
        <w:t>.</w:t>
      </w:r>
    </w:p>
    <w:p w:rsidR="00FC1C1A" w:rsidRDefault="00FC1C1A" w:rsidP="00707826">
      <w:pPr>
        <w:pStyle w:val="Heading2"/>
      </w:pPr>
      <w:r>
        <w:t>GOVERNMENT CODE</w:t>
      </w:r>
    </w:p>
    <w:p w:rsidR="0048135B" w:rsidRDefault="0048135B" w:rsidP="0048135B">
      <w:pPr>
        <w:pStyle w:val="NoSpacing"/>
        <w:numPr>
          <w:ilvl w:val="0"/>
          <w:numId w:val="44"/>
        </w:numPr>
      </w:pPr>
      <w:r>
        <w:t>Government Code 1034(a) repealed</w:t>
      </w:r>
      <w:r w:rsidR="00F61723">
        <w:t xml:space="preserve"> </w:t>
      </w:r>
    </w:p>
    <w:p w:rsidR="0048135B" w:rsidRDefault="0048135B" w:rsidP="0048135B">
      <w:pPr>
        <w:pStyle w:val="NoSpacing"/>
        <w:numPr>
          <w:ilvl w:val="0"/>
          <w:numId w:val="44"/>
        </w:numPr>
      </w:pPr>
      <w:r>
        <w:t>Government Code 25.0021 is controlling</w:t>
      </w:r>
    </w:p>
    <w:p w:rsidR="00FC1C1A" w:rsidRDefault="00FC1C1A" w:rsidP="00707826">
      <w:pPr>
        <w:pStyle w:val="Heading2"/>
      </w:pPr>
      <w:r>
        <w:t>CASE LAW</w:t>
      </w:r>
    </w:p>
    <w:p w:rsidR="0048135B" w:rsidRDefault="0048135B" w:rsidP="0048135B">
      <w:pPr>
        <w:pStyle w:val="NoSpacing"/>
        <w:numPr>
          <w:ilvl w:val="0"/>
          <w:numId w:val="44"/>
        </w:numPr>
      </w:pPr>
      <w:r>
        <w:t>Once the court is on notice that it lacks jurisdiction it has no discretion and must dismiss</w:t>
      </w:r>
    </w:p>
    <w:p w:rsidR="00EB30AB" w:rsidRDefault="00EB30AB" w:rsidP="0048135B">
      <w:pPr>
        <w:pStyle w:val="NoSpacing"/>
        <w:numPr>
          <w:ilvl w:val="0"/>
          <w:numId w:val="44"/>
        </w:numPr>
      </w:pPr>
      <w:r>
        <w:t>Full Faith and Credit / trust contains no estate assets</w:t>
      </w:r>
    </w:p>
    <w:p w:rsidR="002C02BC" w:rsidRDefault="0048135B" w:rsidP="0048135B">
      <w:pPr>
        <w:pStyle w:val="NoSpacing"/>
        <w:numPr>
          <w:ilvl w:val="0"/>
          <w:numId w:val="44"/>
        </w:numPr>
      </w:pPr>
      <w:r>
        <w:t>-401 Case is not in the probate court /</w:t>
      </w:r>
    </w:p>
    <w:p w:rsidR="00EB30AB" w:rsidRDefault="00EB30AB" w:rsidP="0048135B">
      <w:pPr>
        <w:pStyle w:val="NoSpacing"/>
        <w:numPr>
          <w:ilvl w:val="0"/>
          <w:numId w:val="44"/>
        </w:numPr>
      </w:pPr>
      <w:r>
        <w:t>Abate</w:t>
      </w:r>
    </w:p>
    <w:p w:rsidR="00674E30" w:rsidRDefault="00674E30" w:rsidP="00707826">
      <w:pPr>
        <w:pStyle w:val="Heading2"/>
      </w:pPr>
      <w:r>
        <w:lastRenderedPageBreak/>
        <w:t xml:space="preserve">INJUNCTION </w:t>
      </w:r>
    </w:p>
    <w:p w:rsidR="00674E30" w:rsidRDefault="00674E30" w:rsidP="00674E30">
      <w:pPr>
        <w:pStyle w:val="NoSpacing"/>
        <w:numPr>
          <w:ilvl w:val="0"/>
          <w:numId w:val="44"/>
        </w:numPr>
      </w:pPr>
      <w:r>
        <w:t xml:space="preserve">No new business without Court Approval </w:t>
      </w:r>
    </w:p>
    <w:p w:rsidR="00674E30" w:rsidRDefault="00674E30" w:rsidP="00674E30">
      <w:pPr>
        <w:pStyle w:val="NoSpacing"/>
        <w:numPr>
          <w:ilvl w:val="0"/>
          <w:numId w:val="44"/>
        </w:numPr>
      </w:pPr>
      <w:r>
        <w:t xml:space="preserve">Mendel claims the trust has incurred fees without prior court permission for “the trust” to incur any fees. </w:t>
      </w:r>
    </w:p>
    <w:p w:rsidR="0048135B" w:rsidRDefault="0048135B" w:rsidP="0048135B">
      <w:pPr>
        <w:pStyle w:val="NoSpacing"/>
      </w:pPr>
    </w:p>
    <w:p w:rsidR="0048135B" w:rsidRDefault="00674E30" w:rsidP="00707826">
      <w:pPr>
        <w:pStyle w:val="Heading2"/>
      </w:pPr>
      <w:r>
        <w:t>GOVERNMENT CODE</w:t>
      </w:r>
    </w:p>
    <w:p w:rsidR="002C02BC" w:rsidRDefault="002C02BC" w:rsidP="00674E30">
      <w:pPr>
        <w:pStyle w:val="NoSpacing"/>
      </w:pPr>
      <w:r w:rsidRPr="00375F83">
        <w:t xml:space="preserve">TEX. GOV'T CODE ANN. § 25.1034(a) “Repealed by Acts 2001, 77th Leg., </w:t>
      </w:r>
      <w:proofErr w:type="spellStart"/>
      <w:r w:rsidRPr="00375F83">
        <w:t>ch.</w:t>
      </w:r>
      <w:proofErr w:type="spellEnd"/>
      <w:r w:rsidRPr="00375F83">
        <w:t xml:space="preserve"> 635, Sec. 3(2), eff. Sept. 1, 2001.” Tex. Gov't Code § 25.1034</w:t>
      </w:r>
    </w:p>
    <w:p w:rsidR="002C02BC" w:rsidRDefault="002C02BC" w:rsidP="00E23D70">
      <w:pPr>
        <w:pStyle w:val="Quote"/>
      </w:pPr>
      <w:r>
        <w:t>Sec.</w:t>
      </w:r>
      <w:r w:rsidR="00C85ECE">
        <w:t xml:space="preserve">25.0021. </w:t>
      </w:r>
      <w:r>
        <w:t>JURISDICTION. (a) If this section conflicts with a specific provision for a particular statutory probate court or county, the specific provision controls, except that this section controls over a specific provision for a particular court or county if the specific provision attempts to create jurisdiction in a statutory probate court other than jurisdiction over probate, guardianship, mental health, or eminent domain proceedings.</w:t>
      </w:r>
    </w:p>
    <w:p w:rsidR="002C02BC" w:rsidRDefault="002C02BC" w:rsidP="00E23D70">
      <w:pPr>
        <w:pStyle w:val="Quote"/>
      </w:pPr>
      <w:r>
        <w:t>(b</w:t>
      </w:r>
      <w:r w:rsidR="00C85ECE">
        <w:t xml:space="preserve">) </w:t>
      </w:r>
      <w:r>
        <w:t>A statutory probate court as that term is defined in</w:t>
      </w:r>
      <w:r w:rsidR="00C85ECE">
        <w:t xml:space="preserve"> </w:t>
      </w:r>
      <w:r>
        <w:t xml:space="preserve">Section </w:t>
      </w:r>
      <w:r>
        <w:rPr>
          <w:color w:val="0000FF"/>
        </w:rPr>
        <w:t>22.007</w:t>
      </w:r>
      <w:r>
        <w:t xml:space="preserve">(c), Estates Code, has: </w:t>
      </w:r>
    </w:p>
    <w:p w:rsidR="002C02BC" w:rsidRDefault="002C02BC" w:rsidP="00E23D70">
      <w:pPr>
        <w:pStyle w:val="Quote"/>
      </w:pPr>
      <w:r>
        <w:t>(1)</w:t>
      </w:r>
      <w:r w:rsidR="00C85ECE">
        <w:t xml:space="preserve"> </w:t>
      </w:r>
      <w:proofErr w:type="gramStart"/>
      <w:r>
        <w:t>the</w:t>
      </w:r>
      <w:proofErr w:type="gramEnd"/>
      <w:r>
        <w:t xml:space="preserve"> general jurisdiction of a probate court as</w:t>
      </w:r>
      <w:r w:rsidR="00C85ECE">
        <w:t xml:space="preserve"> </w:t>
      </w:r>
      <w:r>
        <w:t>provided by the Estates Code; and</w:t>
      </w:r>
    </w:p>
    <w:p w:rsidR="002C02BC" w:rsidRDefault="002C02BC" w:rsidP="00E23D70">
      <w:pPr>
        <w:pStyle w:val="Quote"/>
      </w:pPr>
      <w:r>
        <w:t>(2)the jurisdiction provided by law for a county</w:t>
      </w:r>
      <w:r w:rsidR="00C85ECE">
        <w:t xml:space="preserve"> </w:t>
      </w:r>
      <w:r>
        <w:t>court to hear and determine actions, cases, matters, or proceedings</w:t>
      </w:r>
      <w:r w:rsidR="00C85ECE">
        <w:t xml:space="preserve"> </w:t>
      </w:r>
      <w:r>
        <w:t>instituted under:</w:t>
      </w:r>
      <w:r w:rsidR="00C85ECE">
        <w:t xml:space="preserve"> </w:t>
      </w:r>
      <w:r>
        <w:t>(A)</w:t>
      </w:r>
      <w:r w:rsidR="00C85ECE">
        <w:t xml:space="preserve"> </w:t>
      </w:r>
      <w:r>
        <w:t xml:space="preserve">Section </w:t>
      </w:r>
      <w:r>
        <w:rPr>
          <w:color w:val="0000FF"/>
        </w:rPr>
        <w:t>166.046</w:t>
      </w:r>
      <w:r>
        <w:t xml:space="preserve">, </w:t>
      </w:r>
      <w:r>
        <w:rPr>
          <w:color w:val="0000FF"/>
        </w:rPr>
        <w:t>192.027</w:t>
      </w:r>
      <w:r>
        <w:t xml:space="preserve">, </w:t>
      </w:r>
      <w:r>
        <w:rPr>
          <w:color w:val="0000FF"/>
        </w:rPr>
        <w:t>193.007</w:t>
      </w:r>
      <w:r>
        <w:t xml:space="preserve">, </w:t>
      </w:r>
      <w:r>
        <w:rPr>
          <w:color w:val="0000FF"/>
        </w:rPr>
        <w:t>552.015</w:t>
      </w:r>
      <w:r>
        <w:t>,</w:t>
      </w:r>
      <w:r w:rsidR="00C85ECE">
        <w:t xml:space="preserve"> </w:t>
      </w:r>
      <w:r>
        <w:rPr>
          <w:color w:val="0000FF"/>
        </w:rPr>
        <w:t>552.019</w:t>
      </w:r>
      <w:r>
        <w:t xml:space="preserve">, </w:t>
      </w:r>
      <w:r>
        <w:rPr>
          <w:color w:val="0000FF"/>
        </w:rPr>
        <w:t>711.004</w:t>
      </w:r>
      <w:r>
        <w:t xml:space="preserve">, or </w:t>
      </w:r>
      <w:r>
        <w:rPr>
          <w:color w:val="0000FF"/>
        </w:rPr>
        <w:t>714.003</w:t>
      </w:r>
      <w:r>
        <w:t>, Health and Safety Code;</w:t>
      </w:r>
    </w:p>
    <w:p w:rsidR="002C02BC" w:rsidRDefault="002C02BC" w:rsidP="00E23D70">
      <w:pPr>
        <w:pStyle w:val="Quote"/>
      </w:pPr>
      <w:r>
        <w:t>(B)</w:t>
      </w:r>
      <w:r w:rsidR="00C85ECE">
        <w:t xml:space="preserve"> </w:t>
      </w:r>
      <w:r>
        <w:t xml:space="preserve">Chapter </w:t>
      </w:r>
      <w:r>
        <w:rPr>
          <w:color w:val="0000FF"/>
        </w:rPr>
        <w:t>462</w:t>
      </w:r>
      <w:r>
        <w:t>, Health and Safety Code; or</w:t>
      </w:r>
    </w:p>
    <w:p w:rsidR="002C02BC" w:rsidRDefault="002C02BC" w:rsidP="00E23D70">
      <w:pPr>
        <w:pStyle w:val="Quote"/>
      </w:pPr>
      <w:r>
        <w:t>(C)</w:t>
      </w:r>
      <w:r w:rsidR="00C85ECE">
        <w:t xml:space="preserve"> </w:t>
      </w:r>
      <w:r>
        <w:t>Subtitle C or D, Title 7, Health and Safety</w:t>
      </w:r>
      <w:r w:rsidR="00C85ECE">
        <w:t xml:space="preserve"> </w:t>
      </w:r>
      <w:r>
        <w:t>Code.</w:t>
      </w:r>
    </w:p>
    <w:p w:rsidR="002C02BC" w:rsidRDefault="002C02BC" w:rsidP="00E23D70">
      <w:pPr>
        <w:pStyle w:val="Quote"/>
      </w:pPr>
      <w:r>
        <w:t xml:space="preserve">Added by Acts 1987, 70th Leg., </w:t>
      </w:r>
      <w:proofErr w:type="spellStart"/>
      <w:r>
        <w:t>ch.</w:t>
      </w:r>
      <w:proofErr w:type="spellEnd"/>
      <w:r>
        <w:t xml:space="preserve"> 148, Sec. 4.01, eff. Sept. 1</w:t>
      </w:r>
      <w:proofErr w:type="gramStart"/>
      <w:r>
        <w:t>,1987</w:t>
      </w:r>
      <w:proofErr w:type="gramEnd"/>
      <w:r>
        <w:t xml:space="preserve">. </w:t>
      </w:r>
      <w:proofErr w:type="gramStart"/>
      <w:r>
        <w:t xml:space="preserve">Amended by Acts 2001, 77th Leg., </w:t>
      </w:r>
      <w:proofErr w:type="spellStart"/>
      <w:r>
        <w:t>ch.</w:t>
      </w:r>
      <w:proofErr w:type="spellEnd"/>
      <w:r>
        <w:t xml:space="preserve"> 635, Sec. 1, eff. Sept. 1, 2001.</w:t>
      </w:r>
      <w:proofErr w:type="gramEnd"/>
    </w:p>
    <w:p w:rsidR="002C02BC" w:rsidRPr="002C02BC" w:rsidRDefault="002C02BC" w:rsidP="00E23D70">
      <w:pPr>
        <w:pStyle w:val="Quote"/>
      </w:pPr>
      <w:r>
        <w:t xml:space="preserve">Amended by: Acts 2017, 85th Leg., R.S., </w:t>
      </w:r>
      <w:proofErr w:type="gramStart"/>
      <w:r>
        <w:t>Ch</w:t>
      </w:r>
      <w:proofErr w:type="gramEnd"/>
      <w:r>
        <w:t xml:space="preserve">. 324 (S.B. </w:t>
      </w:r>
      <w:r>
        <w:rPr>
          <w:color w:val="0000FF"/>
        </w:rPr>
        <w:t>1488</w:t>
      </w:r>
      <w:r>
        <w:t>), Sec. 22.023, eff. September 1, 2017.</w:t>
      </w:r>
    </w:p>
    <w:p w:rsidR="002C02BC" w:rsidRDefault="00D0277C">
      <w:bookmarkStart w:id="0" w:name="_GoBack"/>
      <w:bookmarkEnd w:id="0"/>
      <w:r w:rsidRPr="00D0277C">
        <w:t>https://capitol.texas.gov/BillLookup/History.aspx?LegSess=77R&amp;Bill=HB689</w:t>
      </w:r>
    </w:p>
    <w:sectPr w:rsidR="002C02BC" w:rsidSect="005C53EF">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4E4" w:rsidRDefault="007614E4" w:rsidP="007614E4">
      <w:pPr>
        <w:spacing w:before="0" w:after="0" w:line="240" w:lineRule="auto"/>
      </w:pPr>
      <w:r>
        <w:separator/>
      </w:r>
    </w:p>
  </w:endnote>
  <w:endnote w:type="continuationSeparator" w:id="0">
    <w:p w:rsidR="007614E4" w:rsidRDefault="007614E4" w:rsidP="007614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4E4" w:rsidRDefault="007614E4" w:rsidP="007614E4">
      <w:pPr>
        <w:spacing w:before="0" w:after="0" w:line="240" w:lineRule="auto"/>
      </w:pPr>
      <w:r>
        <w:separator/>
      </w:r>
    </w:p>
  </w:footnote>
  <w:footnote w:type="continuationSeparator" w:id="0">
    <w:p w:rsidR="007614E4" w:rsidRDefault="007614E4" w:rsidP="007614E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C96F01"/>
    <w:multiLevelType w:val="hybridMultilevel"/>
    <w:tmpl w:val="1360B84E"/>
    <w:lvl w:ilvl="0" w:tplc="3D6834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82686B"/>
    <w:multiLevelType w:val="hybridMultilevel"/>
    <w:tmpl w:val="48B6DBE4"/>
    <w:lvl w:ilvl="0" w:tplc="C58880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A3E1F"/>
    <w:multiLevelType w:val="hybridMultilevel"/>
    <w:tmpl w:val="6B8074D6"/>
    <w:lvl w:ilvl="0" w:tplc="5C9E7B8E">
      <w:start w:val="1"/>
      <w:numFmt w:val="upperRoman"/>
      <w:pStyle w:val="Heading1"/>
      <w:lvlText w:val="%1."/>
      <w:lvlJc w:val="righ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C309FE"/>
    <w:multiLevelType w:val="hybridMultilevel"/>
    <w:tmpl w:val="224E8106"/>
    <w:lvl w:ilvl="0" w:tplc="9000E7C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D14337"/>
    <w:multiLevelType w:val="hybridMultilevel"/>
    <w:tmpl w:val="109A2A56"/>
    <w:lvl w:ilvl="0" w:tplc="91BA012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6326B8A"/>
    <w:multiLevelType w:val="hybridMultilevel"/>
    <w:tmpl w:val="0A1051A6"/>
    <w:lvl w:ilvl="0" w:tplc="B03A2326">
      <w:start w:val="1"/>
      <w:numFmt w:val="upperRoman"/>
      <w:pStyle w:val="Footnot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6F5047"/>
    <w:multiLevelType w:val="hybridMultilevel"/>
    <w:tmpl w:val="40323E74"/>
    <w:lvl w:ilvl="0" w:tplc="5990572C">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D364D93"/>
    <w:multiLevelType w:val="hybridMultilevel"/>
    <w:tmpl w:val="6EBEE5BE"/>
    <w:lvl w:ilvl="0" w:tplc="D7542F5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1"/>
  </w:num>
  <w:num w:numId="12">
    <w:abstractNumId w:val="9"/>
  </w:num>
  <w:num w:numId="13">
    <w:abstractNumId w:val="7"/>
  </w:num>
  <w:num w:numId="14">
    <w:abstractNumId w:val="7"/>
  </w:num>
  <w:num w:numId="15">
    <w:abstractNumId w:val="7"/>
  </w:num>
  <w:num w:numId="16">
    <w:abstractNumId w:val="9"/>
  </w:num>
  <w:num w:numId="17">
    <w:abstractNumId w:val="7"/>
  </w:num>
  <w:num w:numId="18">
    <w:abstractNumId w:val="7"/>
  </w:num>
  <w:num w:numId="19">
    <w:abstractNumId w:val="7"/>
  </w:num>
  <w:num w:numId="20">
    <w:abstractNumId w:val="9"/>
  </w:num>
  <w:num w:numId="21">
    <w:abstractNumId w:val="7"/>
  </w:num>
  <w:num w:numId="22">
    <w:abstractNumId w:val="7"/>
  </w:num>
  <w:num w:numId="23">
    <w:abstractNumId w:val="7"/>
  </w:num>
  <w:num w:numId="24">
    <w:abstractNumId w:val="9"/>
  </w:num>
  <w:num w:numId="25">
    <w:abstractNumId w:val="7"/>
  </w:num>
  <w:num w:numId="26">
    <w:abstractNumId w:val="7"/>
  </w:num>
  <w:num w:numId="27">
    <w:abstractNumId w:val="7"/>
  </w:num>
  <w:num w:numId="28">
    <w:abstractNumId w:val="9"/>
  </w:num>
  <w:num w:numId="29">
    <w:abstractNumId w:val="7"/>
  </w:num>
  <w:num w:numId="30">
    <w:abstractNumId w:val="10"/>
  </w:num>
  <w:num w:numId="31">
    <w:abstractNumId w:val="10"/>
  </w:num>
  <w:num w:numId="32">
    <w:abstractNumId w:val="10"/>
  </w:num>
  <w:num w:numId="33">
    <w:abstractNumId w:val="9"/>
  </w:num>
  <w:num w:numId="34">
    <w:abstractNumId w:val="0"/>
  </w:num>
  <w:num w:numId="35">
    <w:abstractNumId w:val="0"/>
  </w:num>
  <w:num w:numId="36">
    <w:abstractNumId w:val="9"/>
  </w:num>
  <w:num w:numId="37">
    <w:abstractNumId w:val="0"/>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
  </w:num>
  <w:num w:numId="41">
    <w:abstractNumId w:val="4"/>
  </w:num>
  <w:num w:numId="42">
    <w:abstractNumId w:val="4"/>
  </w:num>
  <w:num w:numId="43">
    <w:abstractNumId w:val="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BC"/>
    <w:rsid w:val="00003545"/>
    <w:rsid w:val="0002109F"/>
    <w:rsid w:val="00091071"/>
    <w:rsid w:val="000D0E94"/>
    <w:rsid w:val="000F738F"/>
    <w:rsid w:val="00124D37"/>
    <w:rsid w:val="001A3F32"/>
    <w:rsid w:val="001D0B0A"/>
    <w:rsid w:val="001D55AA"/>
    <w:rsid w:val="001D6254"/>
    <w:rsid w:val="00222515"/>
    <w:rsid w:val="00237452"/>
    <w:rsid w:val="0024453E"/>
    <w:rsid w:val="002B0C9B"/>
    <w:rsid w:val="002C02BC"/>
    <w:rsid w:val="002F6C12"/>
    <w:rsid w:val="003A6462"/>
    <w:rsid w:val="003F4B40"/>
    <w:rsid w:val="00424FE8"/>
    <w:rsid w:val="0048135B"/>
    <w:rsid w:val="004B33F5"/>
    <w:rsid w:val="005157AC"/>
    <w:rsid w:val="00537D5C"/>
    <w:rsid w:val="0055091F"/>
    <w:rsid w:val="005B249A"/>
    <w:rsid w:val="005B4D26"/>
    <w:rsid w:val="005C53EF"/>
    <w:rsid w:val="005E0485"/>
    <w:rsid w:val="006066CE"/>
    <w:rsid w:val="00632E36"/>
    <w:rsid w:val="00644CA5"/>
    <w:rsid w:val="00653D93"/>
    <w:rsid w:val="00674E30"/>
    <w:rsid w:val="006A479E"/>
    <w:rsid w:val="006B3E57"/>
    <w:rsid w:val="006C43BC"/>
    <w:rsid w:val="00707826"/>
    <w:rsid w:val="007158F1"/>
    <w:rsid w:val="00721920"/>
    <w:rsid w:val="00727055"/>
    <w:rsid w:val="007322BB"/>
    <w:rsid w:val="007515B7"/>
    <w:rsid w:val="0075160C"/>
    <w:rsid w:val="00756AA9"/>
    <w:rsid w:val="007614E4"/>
    <w:rsid w:val="0079737C"/>
    <w:rsid w:val="007B2354"/>
    <w:rsid w:val="007C1128"/>
    <w:rsid w:val="008303EB"/>
    <w:rsid w:val="00855E0E"/>
    <w:rsid w:val="008B060C"/>
    <w:rsid w:val="008B0BF5"/>
    <w:rsid w:val="008D3448"/>
    <w:rsid w:val="00932191"/>
    <w:rsid w:val="00950776"/>
    <w:rsid w:val="00974001"/>
    <w:rsid w:val="00975538"/>
    <w:rsid w:val="00977F59"/>
    <w:rsid w:val="009A3184"/>
    <w:rsid w:val="009A77A7"/>
    <w:rsid w:val="009D75C0"/>
    <w:rsid w:val="00A17B47"/>
    <w:rsid w:val="00A237F9"/>
    <w:rsid w:val="00A82FAD"/>
    <w:rsid w:val="00AA17D1"/>
    <w:rsid w:val="00AB0B1E"/>
    <w:rsid w:val="00AC0531"/>
    <w:rsid w:val="00B02C6D"/>
    <w:rsid w:val="00B32522"/>
    <w:rsid w:val="00B64FE7"/>
    <w:rsid w:val="00B67DE7"/>
    <w:rsid w:val="00B87F04"/>
    <w:rsid w:val="00C10E52"/>
    <w:rsid w:val="00C33529"/>
    <w:rsid w:val="00C42C11"/>
    <w:rsid w:val="00C67045"/>
    <w:rsid w:val="00C85ECE"/>
    <w:rsid w:val="00C95BD5"/>
    <w:rsid w:val="00CB15BE"/>
    <w:rsid w:val="00CB2AE0"/>
    <w:rsid w:val="00CF6D47"/>
    <w:rsid w:val="00D0277C"/>
    <w:rsid w:val="00D46133"/>
    <w:rsid w:val="00D653E0"/>
    <w:rsid w:val="00DA1618"/>
    <w:rsid w:val="00DE5A41"/>
    <w:rsid w:val="00E23D70"/>
    <w:rsid w:val="00E65E37"/>
    <w:rsid w:val="00EB30AB"/>
    <w:rsid w:val="00EE557C"/>
    <w:rsid w:val="00F205B1"/>
    <w:rsid w:val="00F61723"/>
    <w:rsid w:val="00FC1C1A"/>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D70"/>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7322BB"/>
    <w:pPr>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07826"/>
    <w:pPr>
      <w:spacing w:after="120" w:line="240" w:lineRule="auto"/>
      <w:ind w:left="360" w:right="187" w:hanging="360"/>
      <w:outlineLvl w:val="1"/>
    </w:pPr>
    <w:rPr>
      <w:b/>
      <w:sz w:val="28"/>
    </w:rPr>
  </w:style>
  <w:style w:type="paragraph" w:styleId="Heading3">
    <w:name w:val="heading 3"/>
    <w:basedOn w:val="Normal"/>
    <w:next w:val="Normal"/>
    <w:link w:val="Heading3Char"/>
    <w:autoRedefine/>
    <w:qFormat/>
    <w:rsid w:val="00707826"/>
    <w:pPr>
      <w:keepNext/>
      <w:spacing w:after="120" w:line="240" w:lineRule="auto"/>
      <w:ind w:left="360" w:firstLine="0"/>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E23D70"/>
    <w:pPr>
      <w:widowControl w:val="0"/>
      <w:spacing w:before="120" w:after="240"/>
      <w:ind w:left="720" w:right="720"/>
      <w:contextualSpacing/>
      <w:jc w:val="both"/>
    </w:pPr>
    <w:rPr>
      <w:rFonts w:ascii="Times New Roman" w:hAnsi="Times New Roman"/>
      <w:bCs/>
      <w:i/>
      <w:iCs/>
      <w:sz w:val="24"/>
      <w:szCs w:val="24"/>
    </w:rPr>
  </w:style>
  <w:style w:type="character" w:customStyle="1" w:styleId="QuoteChar">
    <w:name w:val="Quote Char"/>
    <w:link w:val="Quote"/>
    <w:uiPriority w:val="29"/>
    <w:rsid w:val="00E23D70"/>
    <w:rPr>
      <w:rFonts w:ascii="Times New Roman" w:hAnsi="Times New Roman"/>
      <w:bCs/>
      <w:i/>
      <w:iCs/>
      <w:sz w:val="24"/>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07826"/>
    <w:rPr>
      <w:rFonts w:ascii="Times New Roman" w:hAnsi="Times New Roman" w:cs="Times New Roman"/>
      <w:b/>
      <w:sz w:val="28"/>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E23D70"/>
    <w:pPr>
      <w:numPr>
        <w:numId w:val="28"/>
      </w:numPr>
      <w:spacing w:line="240" w:lineRule="auto"/>
    </w:pPr>
  </w:style>
  <w:style w:type="character" w:customStyle="1" w:styleId="BulletChar">
    <w:name w:val="Bullet Char"/>
    <w:basedOn w:val="NumPara1Char"/>
    <w:link w:val="Bullet"/>
    <w:rsid w:val="00E23D70"/>
    <w:rPr>
      <w:rFonts w:ascii="Times New Roman" w:hAnsi="Times New Roman" w:cs="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707826"/>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D70"/>
    <w:pPr>
      <w:spacing w:before="120" w:after="240" w:line="480" w:lineRule="auto"/>
      <w:ind w:firstLine="720"/>
    </w:pPr>
    <w:rPr>
      <w:rFonts w:ascii="Times New Roman" w:hAnsi="Times New Roman" w:cs="Times New Roman"/>
      <w:sz w:val="24"/>
      <w:szCs w:val="24"/>
    </w:rPr>
  </w:style>
  <w:style w:type="paragraph" w:styleId="Heading1">
    <w:name w:val="heading 1"/>
    <w:basedOn w:val="Title"/>
    <w:next w:val="Normal"/>
    <w:link w:val="Heading1Char"/>
    <w:autoRedefine/>
    <w:qFormat/>
    <w:rsid w:val="007322BB"/>
    <w:pPr>
      <w:numPr>
        <w:numId w:val="42"/>
      </w:numPr>
      <w:pBdr>
        <w:bottom w:val="none" w:sz="0" w:space="0" w:color="auto"/>
      </w:pBdr>
      <w:spacing w:after="240" w:line="240" w:lineRule="auto"/>
      <w:ind w:right="0"/>
      <w:outlineLvl w:val="0"/>
    </w:pPr>
    <w:rPr>
      <w:rFonts w:ascii="Times New Roman" w:eastAsia="Times New Roman" w:hAnsi="Times New Roman" w:cs="Times New Roman"/>
      <w:b/>
      <w:bCs/>
      <w:noProof w:val="0"/>
      <w:color w:val="auto"/>
      <w:spacing w:val="0"/>
      <w:sz w:val="28"/>
      <w:szCs w:val="32"/>
    </w:rPr>
  </w:style>
  <w:style w:type="paragraph" w:styleId="Heading2">
    <w:name w:val="heading 2"/>
    <w:basedOn w:val="Normal"/>
    <w:next w:val="Normal"/>
    <w:link w:val="Heading2Char"/>
    <w:autoRedefine/>
    <w:uiPriority w:val="9"/>
    <w:unhideWhenUsed/>
    <w:qFormat/>
    <w:rsid w:val="00707826"/>
    <w:pPr>
      <w:spacing w:after="120" w:line="240" w:lineRule="auto"/>
      <w:ind w:left="360" w:right="187" w:hanging="360"/>
      <w:outlineLvl w:val="1"/>
    </w:pPr>
    <w:rPr>
      <w:b/>
      <w:sz w:val="28"/>
    </w:rPr>
  </w:style>
  <w:style w:type="paragraph" w:styleId="Heading3">
    <w:name w:val="heading 3"/>
    <w:basedOn w:val="Normal"/>
    <w:next w:val="Normal"/>
    <w:link w:val="Heading3Char"/>
    <w:autoRedefine/>
    <w:qFormat/>
    <w:rsid w:val="00707826"/>
    <w:pPr>
      <w:keepNext/>
      <w:spacing w:after="120" w:line="240" w:lineRule="auto"/>
      <w:ind w:left="360" w:firstLine="0"/>
      <w:outlineLvl w:val="2"/>
    </w:pPr>
    <w:rPr>
      <w:rFonts w:eastAsia="Calibri"/>
      <w:b/>
      <w:noProof/>
      <w:sz w:val="28"/>
      <w:szCs w:val="28"/>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E23D70"/>
    <w:pPr>
      <w:widowControl w:val="0"/>
      <w:spacing w:before="120" w:after="240"/>
      <w:ind w:left="720" w:right="720"/>
      <w:contextualSpacing/>
      <w:jc w:val="both"/>
    </w:pPr>
    <w:rPr>
      <w:rFonts w:ascii="Times New Roman" w:hAnsi="Times New Roman"/>
      <w:bCs/>
      <w:i/>
      <w:iCs/>
      <w:sz w:val="24"/>
      <w:szCs w:val="24"/>
    </w:rPr>
  </w:style>
  <w:style w:type="character" w:customStyle="1" w:styleId="QuoteChar">
    <w:name w:val="Quote Char"/>
    <w:link w:val="Quote"/>
    <w:uiPriority w:val="29"/>
    <w:rsid w:val="00E23D70"/>
    <w:rPr>
      <w:rFonts w:ascii="Times New Roman" w:hAnsi="Times New Roman"/>
      <w:bCs/>
      <w:i/>
      <w:iCs/>
      <w:sz w:val="24"/>
      <w:szCs w:val="24"/>
    </w:rPr>
  </w:style>
  <w:style w:type="character" w:customStyle="1" w:styleId="Heading1Char">
    <w:name w:val="Heading 1 Char"/>
    <w:basedOn w:val="DefaultParagraphFont"/>
    <w:link w:val="Heading1"/>
    <w:rsid w:val="007322BB"/>
    <w:rPr>
      <w:rFonts w:ascii="Times New Roman" w:eastAsia="Times New Roman" w:hAnsi="Times New Roman" w:cs="Times New Roman"/>
      <w:b/>
      <w:bCs/>
      <w:kern w:val="28"/>
      <w:sz w:val="28"/>
      <w:szCs w:val="32"/>
    </w:rPr>
  </w:style>
  <w:style w:type="character" w:customStyle="1" w:styleId="Heading2Char">
    <w:name w:val="Heading 2 Char"/>
    <w:basedOn w:val="DefaultParagraphFont"/>
    <w:link w:val="Heading2"/>
    <w:uiPriority w:val="9"/>
    <w:rsid w:val="00707826"/>
    <w:rPr>
      <w:rFonts w:ascii="Times New Roman" w:hAnsi="Times New Roman" w:cs="Times New Roman"/>
      <w:b/>
      <w:sz w:val="28"/>
      <w:szCs w:val="24"/>
    </w:rPr>
  </w:style>
  <w:style w:type="paragraph" w:customStyle="1" w:styleId="NumPara1">
    <w:name w:val="Num Para 1"/>
    <w:basedOn w:val="ListParagraph"/>
    <w:link w:val="NumPara1Char"/>
    <w:autoRedefine/>
    <w:qFormat/>
    <w:rsid w:val="00DE5A41"/>
    <w:pPr>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numPr>
        <w:numId w:val="0"/>
      </w:numPr>
      <w:spacing w:before="480" w:after="0"/>
      <w:outlineLvl w:val="9"/>
    </w:pPr>
    <w:rPr>
      <w:rFonts w:asciiTheme="majorHAnsi" w:hAnsiTheme="majorHAnsi"/>
      <w:color w:val="2E74B5" w:themeColor="accent1" w:themeShade="BF"/>
      <w:szCs w:val="28"/>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D46133"/>
    <w:pPr>
      <w:widowControl w:val="0"/>
      <w:autoSpaceDE w:val="0"/>
      <w:autoSpaceDN w:val="0"/>
      <w:adjustRightInd w:val="0"/>
      <w:spacing w:before="120" w:after="120"/>
    </w:pPr>
    <w:rPr>
      <w:rFonts w:ascii="Times New Roman" w:eastAsiaTheme="majorEastAsia" w:hAnsi="Times New Roman"/>
      <w:bCs/>
      <w:color w:val="212121"/>
      <w:sz w:val="28"/>
    </w:rPr>
  </w:style>
  <w:style w:type="paragraph" w:customStyle="1" w:styleId="Bullet">
    <w:name w:val="Bullet"/>
    <w:basedOn w:val="NumPara1"/>
    <w:link w:val="BulletChar"/>
    <w:qFormat/>
    <w:rsid w:val="00E23D70"/>
    <w:pPr>
      <w:numPr>
        <w:numId w:val="28"/>
      </w:numPr>
      <w:spacing w:line="240" w:lineRule="auto"/>
    </w:pPr>
  </w:style>
  <w:style w:type="character" w:customStyle="1" w:styleId="BulletChar">
    <w:name w:val="Bullet Char"/>
    <w:basedOn w:val="NumPara1Char"/>
    <w:link w:val="Bullet"/>
    <w:rsid w:val="00E23D70"/>
    <w:rPr>
      <w:rFonts w:ascii="Times New Roman" w:hAnsi="Times New Roman" w:cs="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rsid w:val="00707826"/>
    <w:rPr>
      <w:rFonts w:ascii="Times New Roman" w:eastAsia="Calibri" w:hAnsi="Times New Roman" w:cs="Times New Roman"/>
      <w:b/>
      <w:noProof/>
      <w:sz w:val="28"/>
      <w:szCs w:val="28"/>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semiHidden/>
    <w:unhideWhenUsed/>
    <w:rsid w:val="002B0C9B"/>
    <w:pPr>
      <w:tabs>
        <w:tab w:val="center" w:pos="4680"/>
        <w:tab w:val="right" w:pos="9360"/>
      </w:tabs>
    </w:pPr>
  </w:style>
  <w:style w:type="character" w:customStyle="1" w:styleId="HeaderChar">
    <w:name w:val="Header Char"/>
    <w:basedOn w:val="DefaultParagraphFont"/>
    <w:link w:val="Header"/>
    <w:uiPriority w:val="99"/>
    <w:semiHidden/>
    <w:rsid w:val="002B0C9B"/>
    <w:rPr>
      <w:rFonts w:ascii="Times New Roman" w:hAnsi="Times New Roman" w:cs="Times New Roman"/>
      <w:sz w:val="28"/>
      <w:szCs w:val="28"/>
    </w:rPr>
  </w:style>
  <w:style w:type="paragraph" w:styleId="Footer">
    <w:name w:val="footer"/>
    <w:basedOn w:val="Normal"/>
    <w:link w:val="FooterChar"/>
    <w:uiPriority w:val="99"/>
    <w:semiHidden/>
    <w:unhideWhenUsed/>
    <w:rsid w:val="002B0C9B"/>
    <w:pPr>
      <w:tabs>
        <w:tab w:val="center" w:pos="4680"/>
        <w:tab w:val="right" w:pos="9360"/>
      </w:tabs>
    </w:pPr>
  </w:style>
  <w:style w:type="character" w:customStyle="1" w:styleId="FooterChar">
    <w:name w:val="Footer Char"/>
    <w:basedOn w:val="DefaultParagraphFont"/>
    <w:link w:val="Footer"/>
    <w:uiPriority w:val="99"/>
    <w:semiHidden/>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autoRedefine/>
    <w:uiPriority w:val="10"/>
    <w:qFormat/>
    <w:rsid w:val="00537D5C"/>
    <w:pPr>
      <w:pBdr>
        <w:bottom w:val="single" w:sz="8" w:space="4" w:color="5B9BD5" w:themeColor="accent1"/>
      </w:pBdr>
      <w:spacing w:after="300"/>
      <w:ind w:right="720"/>
      <w:jc w:val="center"/>
    </w:pPr>
    <w:rPr>
      <w:rFonts w:asciiTheme="majorHAnsi" w:eastAsiaTheme="majorEastAsia" w:hAnsiTheme="majorHAnsi" w:cstheme="majorBidi"/>
      <w:noProof/>
      <w:color w:val="323E4F" w:themeColor="text2" w:themeShade="BF"/>
      <w:spacing w:val="5"/>
      <w:kern w:val="28"/>
      <w:sz w:val="52"/>
      <w:szCs w:val="52"/>
    </w:rPr>
  </w:style>
  <w:style w:type="character" w:customStyle="1" w:styleId="TitleChar">
    <w:name w:val="Title Char"/>
    <w:basedOn w:val="DefaultParagraphFont"/>
    <w:link w:val="Title"/>
    <w:uiPriority w:val="10"/>
    <w:rsid w:val="00537D5C"/>
    <w:rPr>
      <w:rFonts w:asciiTheme="majorHAnsi" w:eastAsiaTheme="majorEastAsia" w:hAnsiTheme="majorHAnsi" w:cstheme="majorBidi"/>
      <w:noProof/>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7322BB"/>
    <w:pPr>
      <w:numPr>
        <w:numId w:val="17"/>
      </w:numPr>
      <w:spacing w:before="0" w:after="0" w:line="240" w:lineRule="auto"/>
      <w:ind w:left="720" w:hanging="360"/>
    </w:pPr>
    <w:rPr>
      <w:rFonts w:asciiTheme="minorHAnsi" w:eastAsia="Calibri" w:hAnsiTheme="minorHAnsi"/>
      <w:sz w:val="20"/>
    </w:rPr>
  </w:style>
  <w:style w:type="character" w:customStyle="1" w:styleId="FootnoteChar">
    <w:name w:val="Footnote Char"/>
    <w:link w:val="Footnote"/>
    <w:rsid w:val="007322BB"/>
    <w:rPr>
      <w:rFonts w:eastAsia="Calibri"/>
      <w:szCs w:val="24"/>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D178AD1-5422-4625-B884-1856A7A8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3</Pages>
  <Words>928</Words>
  <Characters>5294</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PROPERTY CODE</vt:lpstr>
      <vt:lpstr>        Original and exclusive jurisdiction</vt:lpstr>
      <vt:lpstr>    ESTATES CODE</vt:lpstr>
      <vt:lpstr>        Estates Code 402.001 No further action of any nature</vt:lpstr>
      <vt:lpstr>        Estates Code 34.001 TRANSFER TO STATUTORY PROBATE COURT</vt:lpstr>
      <vt:lpstr>    LOCAL RULES</vt:lpstr>
      <vt:lpstr>        Nolle prosequi</vt:lpstr>
      <vt:lpstr>    GOVERNMENT CODE</vt:lpstr>
      <vt:lpstr>    CASE LAW</vt:lpstr>
      <vt:lpstr>    INJUNCTION </vt:lpstr>
      <vt:lpstr>    GOVERNMENT CODE</vt:lpstr>
    </vt:vector>
  </TitlesOfParts>
  <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MikRonson@att.net</dc:creator>
  <cp:lastModifiedBy>MikRonson@att.net</cp:lastModifiedBy>
  <cp:revision>8</cp:revision>
  <dcterms:created xsi:type="dcterms:W3CDTF">2025-01-02T03:29:00Z</dcterms:created>
  <dcterms:modified xsi:type="dcterms:W3CDTF">2025-01-09T17:43:00Z</dcterms:modified>
</cp:coreProperties>
</file>