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34" w:rsidRDefault="00910334" w:rsidP="00910334">
      <w:pPr>
        <w:autoSpaceDE w:val="0"/>
        <w:autoSpaceDN w:val="0"/>
        <w:adjustRightInd w:val="0"/>
        <w:spacing w:before="0" w:after="0" w:line="240" w:lineRule="auto"/>
        <w:ind w:firstLine="0"/>
        <w:rPr>
          <w:color w:val="636363"/>
          <w:sz w:val="20"/>
          <w:szCs w:val="20"/>
        </w:rPr>
      </w:pPr>
      <w:r>
        <w:rPr>
          <w:color w:val="333333"/>
          <w:sz w:val="20"/>
          <w:szCs w:val="20"/>
        </w:rPr>
        <w:t>2</w:t>
      </w:r>
      <w:r>
        <w:rPr>
          <w:color w:val="636363"/>
          <w:sz w:val="20"/>
          <w:szCs w:val="20"/>
        </w:rPr>
        <w:t>.</w:t>
      </w:r>
      <w:r>
        <w:rPr>
          <w:color w:val="333333"/>
          <w:sz w:val="20"/>
          <w:szCs w:val="20"/>
        </w:rPr>
        <w:t xml:space="preserve">6 Ancillary </w:t>
      </w:r>
      <w:r>
        <w:rPr>
          <w:color w:val="232323"/>
          <w:sz w:val="20"/>
          <w:szCs w:val="20"/>
        </w:rPr>
        <w:t xml:space="preserve">Matters </w:t>
      </w:r>
      <w:r>
        <w:rPr>
          <w:color w:val="232323"/>
          <w:sz w:val="23"/>
          <w:szCs w:val="23"/>
        </w:rPr>
        <w:t xml:space="preserve">that </w:t>
      </w:r>
      <w:r>
        <w:rPr>
          <w:color w:val="232323"/>
          <w:sz w:val="20"/>
          <w:szCs w:val="20"/>
        </w:rPr>
        <w:t xml:space="preserve">belong in a different file with </w:t>
      </w:r>
      <w:r>
        <w:rPr>
          <w:color w:val="333333"/>
          <w:sz w:val="20"/>
          <w:szCs w:val="20"/>
        </w:rPr>
        <w:t xml:space="preserve">on </w:t>
      </w:r>
      <w:r>
        <w:rPr>
          <w:color w:val="232323"/>
          <w:sz w:val="20"/>
          <w:szCs w:val="20"/>
        </w:rPr>
        <w:t xml:space="preserve">ancillary </w:t>
      </w:r>
      <w:r>
        <w:rPr>
          <w:color w:val="333333"/>
          <w:sz w:val="20"/>
          <w:szCs w:val="20"/>
        </w:rPr>
        <w:t xml:space="preserve">or related case </w:t>
      </w:r>
      <w:r>
        <w:rPr>
          <w:color w:val="232323"/>
          <w:sz w:val="20"/>
          <w:szCs w:val="20"/>
        </w:rPr>
        <w:t>design</w:t>
      </w:r>
      <w:r>
        <w:rPr>
          <w:color w:val="4B4B4B"/>
          <w:sz w:val="20"/>
          <w:szCs w:val="20"/>
        </w:rPr>
        <w:t>a</w:t>
      </w:r>
      <w:r>
        <w:rPr>
          <w:color w:val="232323"/>
          <w:sz w:val="20"/>
          <w:szCs w:val="20"/>
        </w:rPr>
        <w:t>tion</w:t>
      </w:r>
      <w:r>
        <w:rPr>
          <w:color w:val="636363"/>
          <w:sz w:val="20"/>
          <w:szCs w:val="20"/>
        </w:rPr>
        <w:t xml:space="preserve">. </w:t>
      </w:r>
      <w:r>
        <w:rPr>
          <w:color w:val="333333"/>
          <w:sz w:val="20"/>
          <w:szCs w:val="20"/>
        </w:rPr>
        <w:t xml:space="preserve">Those </w:t>
      </w:r>
      <w:r>
        <w:rPr>
          <w:color w:val="232323"/>
          <w:sz w:val="20"/>
          <w:szCs w:val="20"/>
        </w:rPr>
        <w:t xml:space="preserve">contested matters that </w:t>
      </w:r>
      <w:r>
        <w:rPr>
          <w:color w:val="333333"/>
          <w:sz w:val="20"/>
          <w:szCs w:val="20"/>
        </w:rPr>
        <w:t xml:space="preserve">bear </w:t>
      </w:r>
      <w:r>
        <w:rPr>
          <w:color w:val="232323"/>
          <w:sz w:val="20"/>
          <w:szCs w:val="20"/>
        </w:rPr>
        <w:t xml:space="preserve">no direct relationship to the </w:t>
      </w:r>
      <w:r>
        <w:rPr>
          <w:color w:val="333333"/>
          <w:sz w:val="20"/>
          <w:szCs w:val="20"/>
        </w:rPr>
        <w:t xml:space="preserve">administration of </w:t>
      </w:r>
      <w:r>
        <w:rPr>
          <w:color w:val="232323"/>
          <w:sz w:val="20"/>
          <w:szCs w:val="20"/>
        </w:rPr>
        <w:t xml:space="preserve">the </w:t>
      </w:r>
      <w:r>
        <w:rPr>
          <w:color w:val="333333"/>
          <w:sz w:val="20"/>
          <w:szCs w:val="20"/>
        </w:rPr>
        <w:t xml:space="preserve">estate and </w:t>
      </w:r>
      <w:r>
        <w:rPr>
          <w:color w:val="232323"/>
          <w:sz w:val="20"/>
          <w:szCs w:val="20"/>
        </w:rPr>
        <w:t xml:space="preserve">that would have the possibility of becoming an </w:t>
      </w:r>
      <w:r>
        <w:rPr>
          <w:color w:val="333333"/>
          <w:sz w:val="20"/>
          <w:szCs w:val="20"/>
        </w:rPr>
        <w:t xml:space="preserve">independently-tried </w:t>
      </w:r>
      <w:r>
        <w:rPr>
          <w:color w:val="232323"/>
          <w:sz w:val="20"/>
          <w:szCs w:val="20"/>
        </w:rPr>
        <w:t xml:space="preserve">lawsuit </w:t>
      </w:r>
      <w:r>
        <w:rPr>
          <w:color w:val="333333"/>
          <w:sz w:val="20"/>
          <w:szCs w:val="20"/>
        </w:rPr>
        <w:t xml:space="preserve">(each </w:t>
      </w:r>
      <w:r>
        <w:rPr>
          <w:color w:val="232323"/>
          <w:sz w:val="20"/>
          <w:szCs w:val="20"/>
        </w:rPr>
        <w:t xml:space="preserve">potentially </w:t>
      </w:r>
      <w:r>
        <w:rPr>
          <w:color w:val="333333"/>
          <w:sz w:val="20"/>
          <w:szCs w:val="20"/>
        </w:rPr>
        <w:t xml:space="preserve">with its </w:t>
      </w:r>
      <w:r>
        <w:rPr>
          <w:color w:val="232323"/>
          <w:sz w:val="20"/>
          <w:szCs w:val="20"/>
        </w:rPr>
        <w:t xml:space="preserve">own docket </w:t>
      </w:r>
      <w:r>
        <w:rPr>
          <w:color w:val="333333"/>
          <w:sz w:val="20"/>
          <w:szCs w:val="20"/>
        </w:rPr>
        <w:t xml:space="preserve">control </w:t>
      </w:r>
      <w:r>
        <w:rPr>
          <w:color w:val="232323"/>
          <w:sz w:val="22"/>
          <w:szCs w:val="22"/>
        </w:rPr>
        <w:t xml:space="preserve">and </w:t>
      </w:r>
      <w:r>
        <w:rPr>
          <w:color w:val="232323"/>
          <w:sz w:val="20"/>
          <w:szCs w:val="20"/>
        </w:rPr>
        <w:t xml:space="preserve">discovery schedules, </w:t>
      </w:r>
      <w:r>
        <w:rPr>
          <w:color w:val="333333"/>
          <w:sz w:val="20"/>
          <w:szCs w:val="20"/>
        </w:rPr>
        <w:t>etc.)</w:t>
      </w:r>
      <w:r>
        <w:rPr>
          <w:color w:val="636363"/>
          <w:sz w:val="20"/>
          <w:szCs w:val="20"/>
        </w:rPr>
        <w:t xml:space="preserve">: </w:t>
      </w:r>
    </w:p>
    <w:p w:rsidR="00910334" w:rsidRDefault="00910334" w:rsidP="00910334">
      <w:pPr>
        <w:pStyle w:val="NoSpacing"/>
      </w:pPr>
      <w:r>
        <w:t>Local Rule 2.6.5</w:t>
      </w:r>
    </w:p>
    <w:p w:rsidR="00910334" w:rsidRPr="00910334" w:rsidRDefault="00910334" w:rsidP="00910334">
      <w:pPr>
        <w:ind w:firstLine="0"/>
      </w:pPr>
      <w:r>
        <w:rPr>
          <w:color w:val="333333"/>
          <w:sz w:val="20"/>
          <w:szCs w:val="20"/>
        </w:rPr>
        <w:t>2.6.5</w:t>
      </w:r>
      <w:r w:rsidR="0090505D">
        <w:rPr>
          <w:color w:val="333333"/>
          <w:sz w:val="20"/>
          <w:szCs w:val="20"/>
        </w:rPr>
        <w:t>I</w:t>
      </w:r>
      <w:r>
        <w:rPr>
          <w:color w:val="232323"/>
          <w:sz w:val="20"/>
          <w:szCs w:val="20"/>
        </w:rPr>
        <w:t>nter</w:t>
      </w:r>
      <w:r w:rsidR="0090505D">
        <w:rPr>
          <w:color w:val="232323"/>
          <w:sz w:val="20"/>
          <w:szCs w:val="20"/>
        </w:rPr>
        <w:t xml:space="preserve"> </w:t>
      </w:r>
      <w:r>
        <w:rPr>
          <w:color w:val="232323"/>
          <w:sz w:val="20"/>
          <w:szCs w:val="20"/>
        </w:rPr>
        <w:t xml:space="preserve">vivos Trust Actions (settlor is decedent in probate pending in subject </w:t>
      </w:r>
      <w:r>
        <w:rPr>
          <w:color w:val="333333"/>
          <w:sz w:val="20"/>
          <w:szCs w:val="20"/>
        </w:rPr>
        <w:t>court);</w:t>
      </w:r>
    </w:p>
    <w:p w:rsidR="00910334" w:rsidRDefault="00910334" w:rsidP="00910334">
      <w:pPr>
        <w:autoSpaceDE w:val="0"/>
        <w:autoSpaceDN w:val="0"/>
        <w:adjustRightInd w:val="0"/>
        <w:spacing w:before="0" w:after="0" w:line="240" w:lineRule="auto"/>
        <w:ind w:firstLine="0"/>
        <w:rPr>
          <w:color w:val="1B1B1B"/>
          <w:sz w:val="21"/>
          <w:szCs w:val="21"/>
        </w:rPr>
      </w:pPr>
      <w:bookmarkStart w:id="0" w:name="_GoBack"/>
      <w:bookmarkEnd w:id="0"/>
    </w:p>
    <w:p w:rsidR="00910334" w:rsidRDefault="00910334" w:rsidP="00910334">
      <w:pPr>
        <w:pStyle w:val="NoSpacing"/>
      </w:pPr>
      <w:r>
        <w:t xml:space="preserve">RULE </w:t>
      </w:r>
      <w:r>
        <w:rPr>
          <w:color w:val="2A2A2A"/>
        </w:rPr>
        <w:t>7</w:t>
      </w:r>
      <w:r>
        <w:rPr>
          <w:color w:val="535353"/>
        </w:rPr>
        <w:t xml:space="preserve">: </w:t>
      </w:r>
      <w:r>
        <w:t>DISMISSAL DOCKETS</w:t>
      </w:r>
    </w:p>
    <w:p w:rsidR="00910334" w:rsidRDefault="00910334" w:rsidP="00910334">
      <w:pPr>
        <w:autoSpaceDE w:val="0"/>
        <w:autoSpaceDN w:val="0"/>
        <w:adjustRightInd w:val="0"/>
        <w:spacing w:before="0" w:after="0" w:line="240" w:lineRule="auto"/>
        <w:ind w:firstLine="0"/>
        <w:rPr>
          <w:color w:val="333333"/>
          <w:sz w:val="20"/>
          <w:szCs w:val="20"/>
        </w:rPr>
      </w:pPr>
      <w:r>
        <w:rPr>
          <w:color w:val="2A2A2A"/>
          <w:sz w:val="21"/>
          <w:szCs w:val="21"/>
        </w:rPr>
        <w:t>7</w:t>
      </w:r>
      <w:r>
        <w:rPr>
          <w:color w:val="535353"/>
          <w:sz w:val="21"/>
          <w:szCs w:val="21"/>
        </w:rPr>
        <w:t>.</w:t>
      </w:r>
      <w:r>
        <w:rPr>
          <w:color w:val="1B1B1B"/>
          <w:sz w:val="21"/>
          <w:szCs w:val="21"/>
        </w:rPr>
        <w:t xml:space="preserve">1 </w:t>
      </w:r>
      <w:r>
        <w:rPr>
          <w:color w:val="2A2A2A"/>
          <w:sz w:val="21"/>
          <w:szCs w:val="21"/>
        </w:rPr>
        <w:t xml:space="preserve">Want of </w:t>
      </w:r>
      <w:r>
        <w:rPr>
          <w:color w:val="1B1B1B"/>
          <w:sz w:val="21"/>
          <w:szCs w:val="21"/>
        </w:rPr>
        <w:t>Pro</w:t>
      </w:r>
      <w:r>
        <w:rPr>
          <w:color w:val="3E3E3E"/>
          <w:sz w:val="21"/>
          <w:szCs w:val="21"/>
        </w:rPr>
        <w:t>secutio</w:t>
      </w:r>
      <w:r>
        <w:rPr>
          <w:color w:val="1B1B1B"/>
          <w:sz w:val="21"/>
          <w:szCs w:val="21"/>
        </w:rPr>
        <w:t xml:space="preserve">n. </w:t>
      </w:r>
      <w:r w:rsidRPr="00910334">
        <w:rPr>
          <w:b/>
          <w:color w:val="1B1B1B"/>
          <w:sz w:val="21"/>
          <w:szCs w:val="21"/>
          <w:u w:val="single"/>
        </w:rPr>
        <w:t xml:space="preserve">All </w:t>
      </w:r>
      <w:r w:rsidRPr="00910334">
        <w:rPr>
          <w:b/>
          <w:color w:val="2A2A2A"/>
          <w:sz w:val="21"/>
          <w:szCs w:val="21"/>
          <w:u w:val="single"/>
        </w:rPr>
        <w:t xml:space="preserve">contested cases which are not set for trial and which </w:t>
      </w:r>
      <w:r w:rsidRPr="00910334">
        <w:rPr>
          <w:b/>
          <w:color w:val="1B1B1B"/>
          <w:sz w:val="21"/>
          <w:szCs w:val="21"/>
          <w:u w:val="single"/>
        </w:rPr>
        <w:t xml:space="preserve">have </w:t>
      </w:r>
      <w:r w:rsidRPr="00910334">
        <w:rPr>
          <w:b/>
          <w:color w:val="2A2A2A"/>
          <w:sz w:val="21"/>
          <w:szCs w:val="21"/>
          <w:u w:val="single"/>
        </w:rPr>
        <w:t xml:space="preserve">been on </w:t>
      </w:r>
      <w:r w:rsidRPr="00910334">
        <w:rPr>
          <w:b/>
          <w:color w:val="1B1B1B"/>
          <w:sz w:val="21"/>
          <w:szCs w:val="21"/>
          <w:u w:val="single"/>
        </w:rPr>
        <w:t xml:space="preserve">file </w:t>
      </w:r>
      <w:r w:rsidRPr="00910334">
        <w:rPr>
          <w:b/>
          <w:color w:val="2A2A2A"/>
          <w:sz w:val="21"/>
          <w:szCs w:val="21"/>
          <w:u w:val="single"/>
        </w:rPr>
        <w:t xml:space="preserve">for </w:t>
      </w:r>
      <w:r w:rsidRPr="00910334">
        <w:rPr>
          <w:b/>
          <w:color w:val="1B1B1B"/>
          <w:sz w:val="21"/>
          <w:szCs w:val="21"/>
          <w:u w:val="single"/>
        </w:rPr>
        <w:t xml:space="preserve">more </w:t>
      </w:r>
      <w:r w:rsidRPr="00910334">
        <w:rPr>
          <w:b/>
          <w:color w:val="2A2A2A"/>
          <w:sz w:val="21"/>
          <w:szCs w:val="21"/>
          <w:u w:val="single"/>
        </w:rPr>
        <w:t xml:space="preserve">than three (3) years are subject </w:t>
      </w:r>
      <w:r w:rsidRPr="00910334">
        <w:rPr>
          <w:b/>
          <w:color w:val="1B1B1B"/>
          <w:sz w:val="21"/>
          <w:szCs w:val="21"/>
          <w:u w:val="single"/>
        </w:rPr>
        <w:t xml:space="preserve">to </w:t>
      </w:r>
      <w:r w:rsidRPr="00910334">
        <w:rPr>
          <w:b/>
          <w:color w:val="2A2A2A"/>
          <w:sz w:val="21"/>
          <w:szCs w:val="21"/>
          <w:u w:val="single"/>
        </w:rPr>
        <w:t>dismissal</w:t>
      </w:r>
      <w:r>
        <w:rPr>
          <w:color w:val="2A2A2A"/>
          <w:sz w:val="21"/>
          <w:szCs w:val="21"/>
        </w:rPr>
        <w:t xml:space="preserve">. Upon </w:t>
      </w:r>
      <w:r>
        <w:rPr>
          <w:color w:val="1B1B1B"/>
          <w:sz w:val="21"/>
          <w:szCs w:val="21"/>
        </w:rPr>
        <w:t xml:space="preserve">request </w:t>
      </w:r>
      <w:r>
        <w:rPr>
          <w:color w:val="2A2A2A"/>
          <w:sz w:val="21"/>
          <w:szCs w:val="21"/>
        </w:rPr>
        <w:t xml:space="preserve">of the court, the court staff </w:t>
      </w:r>
      <w:r>
        <w:rPr>
          <w:color w:val="1B1B1B"/>
          <w:sz w:val="21"/>
          <w:szCs w:val="21"/>
        </w:rPr>
        <w:t xml:space="preserve">shall furnish notice </w:t>
      </w:r>
      <w:r>
        <w:rPr>
          <w:color w:val="2A2A2A"/>
          <w:sz w:val="21"/>
          <w:szCs w:val="21"/>
        </w:rPr>
        <w:t xml:space="preserve">to all </w:t>
      </w:r>
      <w:r>
        <w:rPr>
          <w:color w:val="1B1B1B"/>
          <w:sz w:val="21"/>
          <w:szCs w:val="21"/>
        </w:rPr>
        <w:t xml:space="preserve">parties </w:t>
      </w:r>
      <w:r>
        <w:rPr>
          <w:color w:val="2A2A2A"/>
          <w:sz w:val="21"/>
          <w:szCs w:val="21"/>
        </w:rPr>
        <w:t xml:space="preserve">and their counsel that any contested case will </w:t>
      </w:r>
      <w:r>
        <w:rPr>
          <w:color w:val="1B1B1B"/>
          <w:sz w:val="21"/>
          <w:szCs w:val="21"/>
        </w:rPr>
        <w:t xml:space="preserve">be </w:t>
      </w:r>
      <w:r>
        <w:rPr>
          <w:color w:val="2A2A2A"/>
          <w:sz w:val="21"/>
          <w:szCs w:val="21"/>
        </w:rPr>
        <w:t xml:space="preserve">dismissed for </w:t>
      </w:r>
      <w:r>
        <w:rPr>
          <w:color w:val="1B1B1B"/>
          <w:sz w:val="21"/>
          <w:szCs w:val="21"/>
        </w:rPr>
        <w:t xml:space="preserve">want of prosecution pursuant to the </w:t>
      </w:r>
      <w:r>
        <w:rPr>
          <w:color w:val="2A2A2A"/>
          <w:sz w:val="21"/>
          <w:szCs w:val="21"/>
        </w:rPr>
        <w:t xml:space="preserve">provisions of </w:t>
      </w:r>
      <w:r>
        <w:rPr>
          <w:color w:val="1B1B1B"/>
          <w:sz w:val="21"/>
          <w:szCs w:val="21"/>
        </w:rPr>
        <w:t xml:space="preserve">Rule </w:t>
      </w:r>
      <w:r>
        <w:rPr>
          <w:color w:val="2A2A2A"/>
          <w:sz w:val="21"/>
          <w:szCs w:val="21"/>
        </w:rPr>
        <w:t xml:space="preserve">165a </w:t>
      </w:r>
      <w:r>
        <w:rPr>
          <w:color w:val="1B1B1B"/>
          <w:sz w:val="21"/>
          <w:szCs w:val="21"/>
        </w:rPr>
        <w:t xml:space="preserve">of </w:t>
      </w:r>
      <w:r>
        <w:rPr>
          <w:color w:val="2A2A2A"/>
          <w:sz w:val="21"/>
          <w:szCs w:val="21"/>
        </w:rPr>
        <w:t xml:space="preserve">the </w:t>
      </w:r>
      <w:r>
        <w:rPr>
          <w:color w:val="1B1B1B"/>
          <w:sz w:val="21"/>
          <w:szCs w:val="21"/>
        </w:rPr>
        <w:t xml:space="preserve">Texas </w:t>
      </w:r>
      <w:r>
        <w:rPr>
          <w:color w:val="1B1B1B"/>
          <w:sz w:val="22"/>
          <w:szCs w:val="22"/>
        </w:rPr>
        <w:t>Rules of Civil Procedure</w:t>
      </w:r>
      <w:r>
        <w:rPr>
          <w:color w:val="4D4D4D"/>
          <w:sz w:val="22"/>
          <w:szCs w:val="22"/>
        </w:rPr>
        <w:t xml:space="preserve">. </w:t>
      </w:r>
      <w:r>
        <w:rPr>
          <w:color w:val="1B1B1B"/>
          <w:sz w:val="22"/>
          <w:szCs w:val="22"/>
        </w:rPr>
        <w:t>The procedures for notice of d</w:t>
      </w:r>
      <w:r>
        <w:rPr>
          <w:color w:val="343434"/>
          <w:sz w:val="22"/>
          <w:szCs w:val="22"/>
        </w:rPr>
        <w:t>i</w:t>
      </w:r>
      <w:r>
        <w:rPr>
          <w:color w:val="1B1B1B"/>
          <w:sz w:val="22"/>
          <w:szCs w:val="22"/>
        </w:rPr>
        <w:t>smissal and retention shall be in compliance with Rules l65a and 306a of the Texas Rules of Civil Procedure</w:t>
      </w:r>
      <w:r>
        <w:rPr>
          <w:color w:val="343434"/>
          <w:sz w:val="22"/>
          <w:szCs w:val="22"/>
        </w:rPr>
        <w:t>.</w:t>
      </w:r>
    </w:p>
    <w:p w:rsidR="00910334" w:rsidRDefault="00910334" w:rsidP="00910334">
      <w:pPr>
        <w:autoSpaceDE w:val="0"/>
        <w:autoSpaceDN w:val="0"/>
        <w:adjustRightInd w:val="0"/>
        <w:spacing w:before="0" w:after="0" w:line="240" w:lineRule="auto"/>
        <w:ind w:firstLine="0"/>
      </w:pPr>
    </w:p>
    <w:p w:rsidR="00910334" w:rsidRDefault="00910334" w:rsidP="00910334">
      <w:pPr>
        <w:autoSpaceDE w:val="0"/>
        <w:autoSpaceDN w:val="0"/>
        <w:adjustRightInd w:val="0"/>
        <w:spacing w:before="0" w:after="0" w:line="240" w:lineRule="auto"/>
        <w:ind w:firstLine="0"/>
        <w:rPr>
          <w:color w:val="1D1D1D"/>
          <w:sz w:val="21"/>
          <w:szCs w:val="21"/>
        </w:rPr>
      </w:pPr>
    </w:p>
    <w:p w:rsidR="00910334" w:rsidRDefault="00910334" w:rsidP="00910334">
      <w:pPr>
        <w:autoSpaceDE w:val="0"/>
        <w:autoSpaceDN w:val="0"/>
        <w:adjustRightInd w:val="0"/>
        <w:spacing w:before="0" w:after="0" w:line="240" w:lineRule="auto"/>
        <w:ind w:firstLine="0"/>
        <w:rPr>
          <w:color w:val="464646"/>
          <w:sz w:val="21"/>
          <w:szCs w:val="21"/>
        </w:rPr>
      </w:pPr>
      <w:r>
        <w:rPr>
          <w:color w:val="1D1D1D"/>
          <w:sz w:val="21"/>
          <w:szCs w:val="21"/>
        </w:rPr>
        <w:t>1</w:t>
      </w:r>
      <w:r>
        <w:rPr>
          <w:color w:val="464646"/>
          <w:sz w:val="21"/>
          <w:szCs w:val="21"/>
        </w:rPr>
        <w:t>1</w:t>
      </w:r>
      <w:r>
        <w:rPr>
          <w:color w:val="1D1D1D"/>
          <w:sz w:val="21"/>
          <w:szCs w:val="21"/>
        </w:rPr>
        <w:t>.3 Date of Setting</w:t>
      </w:r>
      <w:r>
        <w:rPr>
          <w:color w:val="464646"/>
          <w:sz w:val="21"/>
          <w:szCs w:val="21"/>
        </w:rPr>
        <w:t xml:space="preserve">. </w:t>
      </w:r>
      <w:r w:rsidRPr="00910334">
        <w:rPr>
          <w:b/>
          <w:color w:val="1D1D1D"/>
          <w:sz w:val="21"/>
          <w:szCs w:val="21"/>
          <w:u w:val="single"/>
        </w:rPr>
        <w:t xml:space="preserve">Contested cases shall be set for trial </w:t>
      </w:r>
      <w:r w:rsidRPr="00910334">
        <w:rPr>
          <w:b/>
          <w:color w:val="2E2D2E"/>
          <w:sz w:val="21"/>
          <w:szCs w:val="21"/>
          <w:u w:val="single"/>
        </w:rPr>
        <w:t xml:space="preserve">for a </w:t>
      </w:r>
      <w:r w:rsidRPr="00910334">
        <w:rPr>
          <w:b/>
          <w:color w:val="1D1D1D"/>
          <w:sz w:val="21"/>
          <w:szCs w:val="21"/>
          <w:u w:val="single"/>
        </w:rPr>
        <w:t>date certain</w:t>
      </w:r>
      <w:r>
        <w:rPr>
          <w:color w:val="1D1D1D"/>
          <w:sz w:val="21"/>
          <w:szCs w:val="21"/>
        </w:rPr>
        <w:t xml:space="preserve">. More than one case may be set </w:t>
      </w:r>
      <w:r>
        <w:rPr>
          <w:color w:val="2E2D2E"/>
          <w:sz w:val="21"/>
          <w:szCs w:val="21"/>
        </w:rPr>
        <w:t xml:space="preserve">for </w:t>
      </w:r>
      <w:r>
        <w:rPr>
          <w:color w:val="1D1D1D"/>
          <w:sz w:val="21"/>
          <w:szCs w:val="21"/>
        </w:rPr>
        <w:t xml:space="preserve">the same time or day and, </w:t>
      </w:r>
      <w:r>
        <w:rPr>
          <w:color w:val="2E2D2E"/>
          <w:sz w:val="21"/>
          <w:szCs w:val="21"/>
        </w:rPr>
        <w:t xml:space="preserve">if </w:t>
      </w:r>
      <w:r>
        <w:rPr>
          <w:color w:val="1D1D1D"/>
          <w:sz w:val="21"/>
          <w:szCs w:val="21"/>
        </w:rPr>
        <w:t>so, the cases will be heard in the order established by court</w:t>
      </w:r>
      <w:r>
        <w:rPr>
          <w:color w:val="464646"/>
          <w:sz w:val="21"/>
          <w:szCs w:val="21"/>
        </w:rPr>
        <w:t xml:space="preserve">, </w:t>
      </w:r>
      <w:r>
        <w:rPr>
          <w:color w:val="1D1D1D"/>
          <w:sz w:val="21"/>
          <w:szCs w:val="21"/>
        </w:rPr>
        <w:t xml:space="preserve">If </w:t>
      </w:r>
      <w:r>
        <w:rPr>
          <w:color w:val="2E2D2E"/>
          <w:sz w:val="21"/>
          <w:szCs w:val="21"/>
        </w:rPr>
        <w:t xml:space="preserve">a </w:t>
      </w:r>
      <w:r>
        <w:rPr>
          <w:color w:val="1D1D1D"/>
          <w:sz w:val="21"/>
          <w:szCs w:val="21"/>
        </w:rPr>
        <w:t xml:space="preserve">case is not assigned </w:t>
      </w:r>
      <w:r>
        <w:rPr>
          <w:color w:val="2E2D2E"/>
          <w:sz w:val="21"/>
          <w:szCs w:val="21"/>
        </w:rPr>
        <w:t xml:space="preserve">to </w:t>
      </w:r>
      <w:r>
        <w:rPr>
          <w:color w:val="1D1D1D"/>
          <w:sz w:val="21"/>
          <w:szCs w:val="21"/>
        </w:rPr>
        <w:t xml:space="preserve">trial </w:t>
      </w:r>
      <w:r>
        <w:rPr>
          <w:color w:val="2E2D2E"/>
          <w:sz w:val="21"/>
          <w:szCs w:val="21"/>
        </w:rPr>
        <w:t xml:space="preserve">within 10 </w:t>
      </w:r>
      <w:r>
        <w:rPr>
          <w:color w:val="1D1D1D"/>
          <w:sz w:val="21"/>
          <w:szCs w:val="21"/>
        </w:rPr>
        <w:t xml:space="preserve">days of </w:t>
      </w:r>
      <w:r>
        <w:rPr>
          <w:color w:val="2E2D2E"/>
          <w:sz w:val="21"/>
          <w:szCs w:val="21"/>
        </w:rPr>
        <w:t xml:space="preserve">its setting </w:t>
      </w:r>
      <w:r>
        <w:rPr>
          <w:color w:val="1D1D1D"/>
          <w:sz w:val="21"/>
          <w:szCs w:val="21"/>
        </w:rPr>
        <w:t xml:space="preserve">date, the court shall conduct another </w:t>
      </w:r>
      <w:r>
        <w:rPr>
          <w:color w:val="2E2D2E"/>
          <w:sz w:val="21"/>
          <w:szCs w:val="21"/>
        </w:rPr>
        <w:t xml:space="preserve">scheduling </w:t>
      </w:r>
      <w:r>
        <w:rPr>
          <w:color w:val="1D1D1D"/>
          <w:sz w:val="21"/>
          <w:szCs w:val="21"/>
        </w:rPr>
        <w:t xml:space="preserve">conference, set </w:t>
      </w:r>
      <w:r>
        <w:rPr>
          <w:color w:val="2E2D2E"/>
          <w:sz w:val="21"/>
          <w:szCs w:val="21"/>
        </w:rPr>
        <w:t xml:space="preserve">a </w:t>
      </w:r>
      <w:r>
        <w:rPr>
          <w:color w:val="1D1D1D"/>
          <w:sz w:val="21"/>
          <w:szCs w:val="21"/>
        </w:rPr>
        <w:t>new trial date, or s</w:t>
      </w:r>
      <w:r>
        <w:rPr>
          <w:color w:val="464646"/>
          <w:sz w:val="21"/>
          <w:szCs w:val="21"/>
        </w:rPr>
        <w:t>i</w:t>
      </w:r>
      <w:r>
        <w:rPr>
          <w:color w:val="1D1D1D"/>
          <w:sz w:val="21"/>
          <w:szCs w:val="21"/>
        </w:rPr>
        <w:t xml:space="preserve">gn a new docket </w:t>
      </w:r>
      <w:r>
        <w:rPr>
          <w:color w:val="2E2D2E"/>
          <w:sz w:val="21"/>
          <w:szCs w:val="21"/>
        </w:rPr>
        <w:t xml:space="preserve">control </w:t>
      </w:r>
      <w:r>
        <w:rPr>
          <w:color w:val="1D1D1D"/>
          <w:sz w:val="21"/>
          <w:szCs w:val="21"/>
        </w:rPr>
        <w:t>order</w:t>
      </w:r>
      <w:r>
        <w:rPr>
          <w:color w:val="464646"/>
          <w:sz w:val="21"/>
          <w:szCs w:val="21"/>
        </w:rPr>
        <w:t>.</w:t>
      </w:r>
    </w:p>
    <w:p w:rsidR="00910334" w:rsidRDefault="00910334" w:rsidP="00910334">
      <w:pPr>
        <w:autoSpaceDE w:val="0"/>
        <w:autoSpaceDN w:val="0"/>
        <w:adjustRightInd w:val="0"/>
        <w:spacing w:before="0" w:after="0" w:line="240" w:lineRule="auto"/>
        <w:ind w:firstLine="0"/>
      </w:pPr>
    </w:p>
    <w:p w:rsidR="00910334" w:rsidRDefault="00910334" w:rsidP="00910334">
      <w:pPr>
        <w:autoSpaceDE w:val="0"/>
        <w:autoSpaceDN w:val="0"/>
        <w:adjustRightInd w:val="0"/>
        <w:spacing w:before="0" w:after="0" w:line="240" w:lineRule="auto"/>
        <w:ind w:firstLine="0"/>
      </w:pPr>
      <w:r>
        <w:rPr>
          <w:color w:val="1D1D1D"/>
          <w:sz w:val="21"/>
          <w:szCs w:val="21"/>
        </w:rPr>
        <w:t>11.4 Agreed Continuances</w:t>
      </w:r>
      <w:r>
        <w:rPr>
          <w:color w:val="464646"/>
          <w:sz w:val="21"/>
          <w:szCs w:val="21"/>
        </w:rPr>
        <w:t xml:space="preserve">. </w:t>
      </w:r>
      <w:r>
        <w:rPr>
          <w:color w:val="1D1D1D"/>
          <w:sz w:val="21"/>
          <w:szCs w:val="21"/>
        </w:rPr>
        <w:t xml:space="preserve">Any </w:t>
      </w:r>
      <w:r>
        <w:rPr>
          <w:color w:val="2E2D2E"/>
          <w:sz w:val="21"/>
          <w:szCs w:val="21"/>
        </w:rPr>
        <w:t xml:space="preserve">trial </w:t>
      </w:r>
      <w:r>
        <w:rPr>
          <w:color w:val="1D1D1D"/>
          <w:sz w:val="21"/>
          <w:szCs w:val="21"/>
        </w:rPr>
        <w:t xml:space="preserve">setting may be </w:t>
      </w:r>
      <w:r>
        <w:rPr>
          <w:color w:val="2E2D2E"/>
          <w:sz w:val="21"/>
          <w:szCs w:val="21"/>
        </w:rPr>
        <w:t xml:space="preserve">continued </w:t>
      </w:r>
      <w:r>
        <w:rPr>
          <w:color w:val="1D1D1D"/>
          <w:sz w:val="21"/>
          <w:szCs w:val="21"/>
        </w:rPr>
        <w:t xml:space="preserve">by </w:t>
      </w:r>
      <w:r>
        <w:rPr>
          <w:color w:val="2E2D2E"/>
          <w:sz w:val="21"/>
          <w:szCs w:val="21"/>
        </w:rPr>
        <w:t xml:space="preserve">written agreement </w:t>
      </w:r>
      <w:r>
        <w:rPr>
          <w:color w:val="1D1D1D"/>
          <w:sz w:val="21"/>
          <w:szCs w:val="21"/>
        </w:rPr>
        <w:t xml:space="preserve">of </w:t>
      </w:r>
      <w:r>
        <w:rPr>
          <w:color w:val="2E2D2E"/>
          <w:sz w:val="21"/>
          <w:szCs w:val="21"/>
        </w:rPr>
        <w:t xml:space="preserve">all </w:t>
      </w:r>
      <w:r>
        <w:rPr>
          <w:color w:val="1D1D1D"/>
          <w:sz w:val="21"/>
          <w:szCs w:val="21"/>
        </w:rPr>
        <w:t xml:space="preserve">parties </w:t>
      </w:r>
      <w:r>
        <w:rPr>
          <w:color w:val="2E2D2E"/>
          <w:sz w:val="21"/>
          <w:szCs w:val="21"/>
        </w:rPr>
        <w:t xml:space="preserve">or </w:t>
      </w:r>
      <w:r>
        <w:rPr>
          <w:color w:val="1D1D1D"/>
          <w:sz w:val="21"/>
          <w:szCs w:val="21"/>
        </w:rPr>
        <w:t xml:space="preserve">their lead counsel, with the </w:t>
      </w:r>
      <w:r>
        <w:rPr>
          <w:color w:val="2E2D2E"/>
          <w:sz w:val="21"/>
          <w:szCs w:val="21"/>
        </w:rPr>
        <w:t xml:space="preserve">approval </w:t>
      </w:r>
      <w:r>
        <w:rPr>
          <w:color w:val="1D1D1D"/>
          <w:sz w:val="21"/>
          <w:szCs w:val="21"/>
        </w:rPr>
        <w:t xml:space="preserve">of the </w:t>
      </w:r>
      <w:r>
        <w:rPr>
          <w:color w:val="2E2D2E"/>
          <w:sz w:val="21"/>
          <w:szCs w:val="21"/>
        </w:rPr>
        <w:t>court</w:t>
      </w:r>
      <w:r>
        <w:rPr>
          <w:color w:val="5C5C5C"/>
          <w:sz w:val="21"/>
          <w:szCs w:val="21"/>
        </w:rPr>
        <w:t>.</w:t>
      </w:r>
    </w:p>
    <w:p w:rsidR="00910334" w:rsidRDefault="00910334" w:rsidP="00910334">
      <w:pPr>
        <w:ind w:firstLine="0"/>
      </w:pPr>
    </w:p>
    <w:p w:rsidR="00D653E0" w:rsidRDefault="00910334" w:rsidP="00910334">
      <w:r>
        <w:t xml:space="preserve">Jurisdiction of a statutory court is delegated by statute. Independent administration of a decedent’s estate is not a privilege created by the legislature but a right recognized by the Legislature as expressed in the estates code. </w:t>
      </w:r>
    </w:p>
    <w:p w:rsidR="00910334" w:rsidRDefault="00910334" w:rsidP="00910334">
      <w:r>
        <w:t xml:space="preserve">Probate is an action in rem. </w:t>
      </w:r>
    </w:p>
    <w:p w:rsidR="00910334" w:rsidRDefault="00910334" w:rsidP="00910334">
      <w:r>
        <w:t>Admiralty Maritime Jurisdiction vs Contract</w:t>
      </w:r>
    </w:p>
    <w:p w:rsidR="00B93E56" w:rsidRDefault="00B93E56" w:rsidP="00B93E56">
      <w:pPr>
        <w:spacing w:before="0" w:after="100" w:line="240" w:lineRule="auto"/>
        <w:ind w:firstLine="0"/>
      </w:pPr>
      <w:r w:rsidRPr="00B93E56">
        <w:t xml:space="preserve">A case becomes moot if a controversy ceases to exist between the parties at any stage of the legal proceedings. </w:t>
      </w:r>
      <w:r w:rsidRPr="00B93E56">
        <w:rPr>
          <w:i/>
          <w:iCs/>
        </w:rPr>
        <w:t>See In re Kellogg Brown &amp; Root, Inc.</w:t>
      </w:r>
      <w:r w:rsidRPr="00B93E56">
        <w:t xml:space="preserve">, </w:t>
      </w:r>
      <w:hyperlink r:id="rId6" w:anchor="p737" w:history="1">
        <w:proofErr w:type="gramStart"/>
        <w:r w:rsidRPr="00B93E56">
          <w:rPr>
            <w:color w:val="0000FF"/>
            <w:u w:val="single"/>
          </w:rPr>
          <w:t>166 S.W.3d 732, 737</w:t>
        </w:r>
        <w:proofErr w:type="gramEnd"/>
      </w:hyperlink>
      <w:r w:rsidRPr="00B93E56">
        <w:t xml:space="preserve"> (Tex. 2005). Appellate courts lack jurisdiction over moot controversies. </w:t>
      </w:r>
      <w:r w:rsidRPr="00B93E56">
        <w:rPr>
          <w:i/>
          <w:iCs/>
        </w:rPr>
        <w:t xml:space="preserve">See </w:t>
      </w:r>
      <w:proofErr w:type="spellStart"/>
      <w:r w:rsidRPr="00B93E56">
        <w:rPr>
          <w:i/>
          <w:iCs/>
        </w:rPr>
        <w:t>Olley</w:t>
      </w:r>
      <w:proofErr w:type="spellEnd"/>
      <w:r w:rsidRPr="00B93E56">
        <w:rPr>
          <w:i/>
          <w:iCs/>
        </w:rPr>
        <w:t xml:space="preserve"> v. HCM, LLC</w:t>
      </w:r>
      <w:r w:rsidRPr="00B93E56">
        <w:t>, 449 S.W.3d 572, 575 (Tex. App.-Houston [14th Dist.] 2014, pet. denied).</w:t>
      </w:r>
    </w:p>
    <w:p w:rsidR="00B93E56" w:rsidRDefault="00B93E56">
      <w:pPr>
        <w:spacing w:before="0" w:after="100" w:line="240" w:lineRule="auto"/>
        <w:ind w:firstLine="0"/>
        <w:rPr>
          <w:b/>
        </w:rPr>
      </w:pPr>
    </w:p>
    <w:p w:rsidR="00535D8D" w:rsidRDefault="00105C67" w:rsidP="00535D8D">
      <w:pPr>
        <w:pStyle w:val="Heading1"/>
      </w:pPr>
      <w:r>
        <w:lastRenderedPageBreak/>
        <w:t xml:space="preserve">Grift of the Brunsting’s </w:t>
      </w:r>
      <w:r w:rsidR="00535D8D">
        <w:t>Exploitation Chronology</w:t>
      </w:r>
    </w:p>
    <w:p w:rsidR="00105C67" w:rsidRDefault="00105C67" w:rsidP="00105C67">
      <w:pPr>
        <w:pStyle w:val="Heading2"/>
      </w:pPr>
      <w:r>
        <w:t>Introduction</w:t>
      </w:r>
    </w:p>
    <w:p w:rsidR="00105C67" w:rsidRPr="00105C67" w:rsidRDefault="00105C67" w:rsidP="00105C67">
      <w:pPr>
        <w:autoSpaceDE w:val="0"/>
        <w:autoSpaceDN w:val="0"/>
        <w:adjustRightInd w:val="0"/>
        <w:spacing w:before="0" w:after="0" w:line="240" w:lineRule="auto"/>
        <w:ind w:firstLine="0"/>
        <w:rPr>
          <w:rFonts w:ascii="TimesNewRomanPSMT" w:hAnsi="TimesNewRomanPSMT" w:cs="TimesNewRomanPSMT"/>
          <w:sz w:val="28"/>
          <w:szCs w:val="28"/>
        </w:rPr>
      </w:pPr>
      <w:r>
        <w:rPr>
          <w:rFonts w:ascii="TimesNewRomanPSMT" w:hAnsi="TimesNewRomanPSMT" w:cs="TimesNewRomanPSMT"/>
          <w:sz w:val="28"/>
          <w:szCs w:val="28"/>
        </w:rPr>
        <w:t xml:space="preserve">When my best friend suffered emotional trauma at the realization that her little sisters had implemented a plan to steal her share of the family trust inheritance, I gave my word that I would help her defend her rights in that property. That right in pro-per-ty (possession, dominion and control) vested equally in each of the five beneficiaries at the death of their mother on 11/11/2011 and should have been divided by 5 immediately after the passing of the last trust settlor. It should have been a quick easy process but the alleged trustee as of December 21, 2010, Anita Brunsting, had failed to establish and maintain books and records of accounts. One cannot divide what one cannot account for and, as had been discovered along the way, Anita didn’t bother to establish and maintain books and records of accounts because she never intended to divide by five. </w:t>
      </w:r>
    </w:p>
    <w:p w:rsidR="00105C67" w:rsidRPr="00105C67" w:rsidRDefault="00105C67" w:rsidP="00105C67"/>
    <w:p w:rsidR="00535D8D" w:rsidRDefault="0090505D" w:rsidP="00535D8D">
      <w:pPr>
        <w:pStyle w:val="Heading2"/>
      </w:pPr>
      <w:hyperlink r:id="rId7" w:history="1">
        <w:r w:rsidR="00535D8D" w:rsidRPr="00105C67">
          <w:rPr>
            <w:rStyle w:val="Hyperlink"/>
          </w:rPr>
          <w:t>SDTX 4:12-cv-592</w:t>
        </w:r>
      </w:hyperlink>
      <w:r w:rsidR="00535D8D">
        <w:t xml:space="preserve"> – Breach failure to disclose and failure to account</w:t>
      </w:r>
    </w:p>
    <w:p w:rsidR="00535D8D" w:rsidRDefault="00535D8D" w:rsidP="00910334">
      <w:r>
        <w:t>I’m not practicing law, by necessity I’m learning it</w:t>
      </w:r>
      <w:r w:rsidR="00105C67">
        <w:t xml:space="preserve"> on the fly</w:t>
      </w:r>
      <w:r>
        <w:t xml:space="preserve">. </w:t>
      </w:r>
      <w:r w:rsidR="00105C67">
        <w:t xml:space="preserve">I think one of the most alarming aspects is that the obligations involved are of a fiduciary nature. Fiduciary duties are the highest level of legal and moral obligation known to our law. </w:t>
      </w:r>
    </w:p>
    <w:p w:rsidR="00535D8D" w:rsidRDefault="00535D8D" w:rsidP="00535D8D">
      <w:pPr>
        <w:pStyle w:val="Heading2"/>
      </w:pPr>
      <w:r>
        <w:t>5</w:t>
      </w:r>
      <w:r w:rsidRPr="00535D8D">
        <w:rPr>
          <w:vertAlign w:val="superscript"/>
        </w:rPr>
        <w:t>th</w:t>
      </w:r>
      <w:r>
        <w:t xml:space="preserve"> Cir. No. 12-20164 – Probate exception published Curtis v Brunsting 704 F.3d 406</w:t>
      </w:r>
    </w:p>
    <w:p w:rsidR="00535D8D" w:rsidRDefault="00535D8D" w:rsidP="00535D8D"/>
    <w:p w:rsidR="00535D8D" w:rsidRDefault="00535D8D" w:rsidP="00535D8D">
      <w:pPr>
        <w:pStyle w:val="Heading2"/>
      </w:pPr>
      <w:r>
        <w:t>SDTX 4:12-cv-592 – Report of Special Master (accounting), Preliminary Injunction</w:t>
      </w:r>
    </w:p>
    <w:p w:rsidR="00535D8D" w:rsidRDefault="00535D8D" w:rsidP="00535D8D"/>
    <w:p w:rsidR="00535D8D" w:rsidRDefault="00535D8D" w:rsidP="00535D8D">
      <w:pPr>
        <w:pStyle w:val="Heading2"/>
      </w:pPr>
      <w:r>
        <w:t>Harris County Probate Theater No. 4 No. 412249-401</w:t>
      </w:r>
    </w:p>
    <w:p w:rsidR="00535D8D" w:rsidRPr="00535D8D" w:rsidRDefault="00535D8D" w:rsidP="00535D8D"/>
    <w:p w:rsidR="00535D8D" w:rsidRPr="00535D8D" w:rsidRDefault="00535D8D" w:rsidP="00535D8D">
      <w:pPr>
        <w:pStyle w:val="Heading1"/>
      </w:pPr>
      <w:r>
        <w:t>Munson COMA – Induced – ICU - aortic trunk and valve replacement</w:t>
      </w:r>
    </w:p>
    <w:p w:rsidR="00535D8D" w:rsidRDefault="00535D8D" w:rsidP="00535D8D">
      <w:pPr>
        <w:pStyle w:val="Heading2"/>
      </w:pPr>
      <w:r>
        <w:t>SDTX 4:12-</w:t>
      </w:r>
      <w:proofErr w:type="gramStart"/>
      <w:r>
        <w:t>cv-</w:t>
      </w:r>
      <w:proofErr w:type="gramEnd"/>
      <w:r>
        <w:t>592 – Enter attorney Jason Ostrom &amp; Agreed Order for Remand (agreed among the attorneys only)</w:t>
      </w:r>
    </w:p>
    <w:p w:rsidR="00535D8D" w:rsidRDefault="00535D8D" w:rsidP="00535D8D">
      <w:pPr>
        <w:pStyle w:val="Heading2"/>
      </w:pPr>
      <w:r>
        <w:lastRenderedPageBreak/>
        <w:t>Harris County Probate Theater No. 4 No. 412249-402 Remand Converted to Transfer and then dissolved into 412249-401 and made to vanish completely</w:t>
      </w:r>
    </w:p>
    <w:p w:rsidR="00535D8D" w:rsidRDefault="00535D8D" w:rsidP="00535D8D"/>
    <w:p w:rsidR="00535D8D" w:rsidRDefault="00535D8D" w:rsidP="00535D8D">
      <w:pPr>
        <w:pStyle w:val="Heading2"/>
      </w:pPr>
      <w:r>
        <w:t>SDTX 4:16-cv-1969 RICO – Honest Services Fraud</w:t>
      </w:r>
    </w:p>
    <w:p w:rsidR="00535D8D" w:rsidRDefault="00535D8D" w:rsidP="00535D8D"/>
    <w:p w:rsidR="00535D8D" w:rsidRDefault="00535D8D" w:rsidP="00535D8D">
      <w:pPr>
        <w:pStyle w:val="Heading2"/>
      </w:pPr>
      <w:r>
        <w:t>5</w:t>
      </w:r>
      <w:r w:rsidRPr="00535D8D">
        <w:rPr>
          <w:vertAlign w:val="superscript"/>
        </w:rPr>
        <w:t>th</w:t>
      </w:r>
      <w:r>
        <w:t xml:space="preserve"> Cir. ROA 17-20360 –Appeal RICO</w:t>
      </w:r>
    </w:p>
    <w:p w:rsidR="00535D8D" w:rsidRDefault="00535D8D" w:rsidP="00535D8D"/>
    <w:p w:rsidR="00535D8D" w:rsidRDefault="00535D8D" w:rsidP="00535D8D">
      <w:pPr>
        <w:pStyle w:val="Heading2"/>
      </w:pPr>
      <w:r>
        <w:t>SDTX 4:12-cv-592 – Rule 60 Motion to Vacate Remand</w:t>
      </w:r>
    </w:p>
    <w:p w:rsidR="00535D8D" w:rsidRDefault="00535D8D" w:rsidP="00535D8D"/>
    <w:p w:rsidR="00535D8D" w:rsidRDefault="00535D8D" w:rsidP="00535D8D">
      <w:pPr>
        <w:pStyle w:val="Heading2"/>
      </w:pPr>
      <w:r>
        <w:t>5</w:t>
      </w:r>
      <w:r w:rsidRPr="00535D8D">
        <w:rPr>
          <w:vertAlign w:val="superscript"/>
        </w:rPr>
        <w:t>th</w:t>
      </w:r>
      <w:r>
        <w:t xml:space="preserve"> Cir. ROA 20-20566</w:t>
      </w:r>
    </w:p>
    <w:p w:rsidR="00535D8D" w:rsidRDefault="00535D8D" w:rsidP="00535D8D"/>
    <w:p w:rsidR="00535D8D" w:rsidRDefault="00535D8D" w:rsidP="00535D8D">
      <w:pPr>
        <w:pStyle w:val="Heading2"/>
      </w:pPr>
      <w:r>
        <w:t>Harris County Probate Theater No. 4 No. 412249-401</w:t>
      </w:r>
    </w:p>
    <w:p w:rsidR="00535D8D" w:rsidRDefault="00535D8D" w:rsidP="00535D8D">
      <w:r>
        <w:t>Summary Judgment Order, nonsuits and orders severing parties</w:t>
      </w:r>
    </w:p>
    <w:p w:rsidR="00535D8D" w:rsidRPr="00535D8D" w:rsidRDefault="00535D8D" w:rsidP="00535D8D">
      <w:pPr>
        <w:pStyle w:val="Heading2"/>
      </w:pPr>
      <w:r w:rsidRPr="00535D8D">
        <w:t xml:space="preserve">SDTX Case 4:22-cv-01129 - Notice of removal 2022-04-08 </w:t>
      </w:r>
    </w:p>
    <w:p w:rsidR="00535D8D" w:rsidRDefault="00535D8D" w:rsidP="00535D8D"/>
    <w:p w:rsidR="00535D8D" w:rsidRDefault="00535D8D" w:rsidP="00535D8D">
      <w:pPr>
        <w:pStyle w:val="Heading2"/>
      </w:pPr>
      <w:r>
        <w:t xml:space="preserve">Court of Appeals Number: </w:t>
      </w:r>
      <w:r>
        <w:rPr>
          <w:rFonts w:ascii="TimesNewRomanPSMT" w:hAnsi="TimesNewRomanPSMT" w:cs="TimesNewRomanPSMT"/>
        </w:rPr>
        <w:t>01-22-00514-CV</w:t>
      </w:r>
    </w:p>
    <w:p w:rsidR="00535D8D" w:rsidRDefault="00535D8D" w:rsidP="00535D8D"/>
    <w:p w:rsidR="00535D8D" w:rsidRDefault="00535D8D" w:rsidP="00535D8D">
      <w:pPr>
        <w:pStyle w:val="Heading2"/>
      </w:pPr>
      <w:r>
        <w:t>TX 1</w:t>
      </w:r>
      <w:r w:rsidRPr="00535D8D">
        <w:rPr>
          <w:vertAlign w:val="superscript"/>
        </w:rPr>
        <w:t>st</w:t>
      </w:r>
      <w:r>
        <w:t xml:space="preserve"> District Court of Appeal ROA No. 01-23-00362-CV</w:t>
      </w:r>
    </w:p>
    <w:p w:rsidR="00535D8D" w:rsidRPr="00535D8D" w:rsidRDefault="00535D8D" w:rsidP="00535D8D">
      <w:r>
        <w:t xml:space="preserve">Want of Jurisdiction in </w:t>
      </w:r>
      <w:r w:rsidRPr="00535D8D">
        <w:t>Harris</w:t>
      </w:r>
      <w:r>
        <w:t xml:space="preserve"> County Probate Theater No. 4</w:t>
      </w:r>
    </w:p>
    <w:p w:rsidR="00535D8D" w:rsidRDefault="00535D8D" w:rsidP="00910334"/>
    <w:p w:rsidR="00535D8D" w:rsidRDefault="00535D8D" w:rsidP="00910334"/>
    <w:p w:rsidR="00910334" w:rsidRDefault="00910334" w:rsidP="00910334"/>
    <w:p w:rsidR="00910334" w:rsidRDefault="00910334"/>
    <w:sectPr w:rsidR="00910334"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34"/>
    <w:rsid w:val="00003545"/>
    <w:rsid w:val="0002109F"/>
    <w:rsid w:val="00091071"/>
    <w:rsid w:val="000D0E94"/>
    <w:rsid w:val="000F738F"/>
    <w:rsid w:val="00105C67"/>
    <w:rsid w:val="00124D37"/>
    <w:rsid w:val="001A3F32"/>
    <w:rsid w:val="001D0B0A"/>
    <w:rsid w:val="001D6254"/>
    <w:rsid w:val="00222515"/>
    <w:rsid w:val="00237452"/>
    <w:rsid w:val="0024453E"/>
    <w:rsid w:val="002B0C9B"/>
    <w:rsid w:val="002F6C12"/>
    <w:rsid w:val="003A6462"/>
    <w:rsid w:val="003F4B40"/>
    <w:rsid w:val="00424FE8"/>
    <w:rsid w:val="005157AC"/>
    <w:rsid w:val="00535D8D"/>
    <w:rsid w:val="0055091F"/>
    <w:rsid w:val="005B4D26"/>
    <w:rsid w:val="005C53EF"/>
    <w:rsid w:val="005E0485"/>
    <w:rsid w:val="00644CA5"/>
    <w:rsid w:val="006A479E"/>
    <w:rsid w:val="006B3E57"/>
    <w:rsid w:val="00721920"/>
    <w:rsid w:val="00727055"/>
    <w:rsid w:val="00756AA9"/>
    <w:rsid w:val="0079737C"/>
    <w:rsid w:val="007C1128"/>
    <w:rsid w:val="008303EB"/>
    <w:rsid w:val="00855E0E"/>
    <w:rsid w:val="008B060C"/>
    <w:rsid w:val="0090505D"/>
    <w:rsid w:val="00910334"/>
    <w:rsid w:val="00932191"/>
    <w:rsid w:val="00950776"/>
    <w:rsid w:val="00974001"/>
    <w:rsid w:val="00975538"/>
    <w:rsid w:val="00977F59"/>
    <w:rsid w:val="009A77A7"/>
    <w:rsid w:val="009D75C0"/>
    <w:rsid w:val="00A17B47"/>
    <w:rsid w:val="00A237F9"/>
    <w:rsid w:val="00A82FAD"/>
    <w:rsid w:val="00AB0B1E"/>
    <w:rsid w:val="00AC0531"/>
    <w:rsid w:val="00B02C6D"/>
    <w:rsid w:val="00B32522"/>
    <w:rsid w:val="00B64FE7"/>
    <w:rsid w:val="00B67DE7"/>
    <w:rsid w:val="00B87F04"/>
    <w:rsid w:val="00B93E56"/>
    <w:rsid w:val="00C10E52"/>
    <w:rsid w:val="00C33529"/>
    <w:rsid w:val="00C42C11"/>
    <w:rsid w:val="00C67045"/>
    <w:rsid w:val="00CB2AE0"/>
    <w:rsid w:val="00D653E0"/>
    <w:rsid w:val="00DE5A41"/>
    <w:rsid w:val="00EE557C"/>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535D8D"/>
    <w:pPr>
      <w:keepNext/>
      <w:numPr>
        <w:numId w:val="31"/>
      </w:numPr>
      <w:spacing w:after="120" w:line="240" w:lineRule="auto"/>
      <w:ind w:left="0"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535D8D"/>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C10E52"/>
    <w:pPr>
      <w:widowControl w:val="0"/>
      <w:spacing w:before="0"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C10E52"/>
    <w:rPr>
      <w:i/>
      <w:iCs/>
      <w:color w:val="404040" w:themeColor="text1" w:themeTint="BF"/>
      <w:sz w:val="24"/>
    </w:rPr>
  </w:style>
  <w:style w:type="character" w:customStyle="1" w:styleId="Heading1Char">
    <w:name w:val="Heading 1 Char"/>
    <w:basedOn w:val="DefaultParagraphFont"/>
    <w:link w:val="Heading1"/>
    <w:rsid w:val="00535D8D"/>
    <w:rPr>
      <w:b/>
      <w:bCs/>
      <w:noProof/>
      <w:sz w:val="24"/>
      <w:szCs w:val="52"/>
      <w:u w:val="single"/>
    </w:rPr>
  </w:style>
  <w:style w:type="character" w:customStyle="1" w:styleId="Heading2Char">
    <w:name w:val="Heading 2 Char"/>
    <w:basedOn w:val="DefaultParagraphFont"/>
    <w:link w:val="Heading2"/>
    <w:uiPriority w:val="9"/>
    <w:rsid w:val="00535D8D"/>
    <w:rPr>
      <w:b/>
      <w:sz w:val="24"/>
      <w:szCs w:val="24"/>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535D8D"/>
    <w:pPr>
      <w:keepNext/>
      <w:numPr>
        <w:numId w:val="31"/>
      </w:numPr>
      <w:spacing w:after="120" w:line="240" w:lineRule="auto"/>
      <w:ind w:left="0"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535D8D"/>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C10E52"/>
    <w:pPr>
      <w:widowControl w:val="0"/>
      <w:spacing w:before="0"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C10E52"/>
    <w:rPr>
      <w:i/>
      <w:iCs/>
      <w:color w:val="404040" w:themeColor="text1" w:themeTint="BF"/>
      <w:sz w:val="24"/>
    </w:rPr>
  </w:style>
  <w:style w:type="character" w:customStyle="1" w:styleId="Heading1Char">
    <w:name w:val="Heading 1 Char"/>
    <w:basedOn w:val="DefaultParagraphFont"/>
    <w:link w:val="Heading1"/>
    <w:rsid w:val="00535D8D"/>
    <w:rPr>
      <w:b/>
      <w:bCs/>
      <w:noProof/>
      <w:sz w:val="24"/>
      <w:szCs w:val="52"/>
      <w:u w:val="single"/>
    </w:rPr>
  </w:style>
  <w:style w:type="character" w:customStyle="1" w:styleId="Heading2Char">
    <w:name w:val="Heading 2 Char"/>
    <w:basedOn w:val="DefaultParagraphFont"/>
    <w:link w:val="Heading2"/>
    <w:uiPriority w:val="9"/>
    <w:rsid w:val="00535D8D"/>
    <w:rPr>
      <w:b/>
      <w:sz w:val="24"/>
      <w:szCs w:val="24"/>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obatemafia.com/Brunsting/Tab%201%202012-02-27%20Case%20412-cv-592%20Curtis%20Original%20Federal%20Complai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etext.com/case/in-re-kellogg-brown-root-inc-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2958</TotalTime>
  <Pages>4</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dc:creator>
  <cp:lastModifiedBy>MikRonson@att.net</cp:lastModifiedBy>
  <cp:revision>5</cp:revision>
  <dcterms:created xsi:type="dcterms:W3CDTF">2023-08-16T16:26:00Z</dcterms:created>
  <dcterms:modified xsi:type="dcterms:W3CDTF">2025-01-02T15:55:00Z</dcterms:modified>
</cp:coreProperties>
</file>