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FD" w:rsidRPr="00EE04FD" w:rsidRDefault="00EE04FD" w:rsidP="00EE04FD">
      <w:pPr>
        <w:spacing w:before="100" w:beforeAutospacing="1" w:after="100" w:afterAutospacing="1"/>
        <w:outlineLvl w:val="3"/>
        <w:rPr>
          <w:b/>
          <w:bCs/>
        </w:rPr>
      </w:pPr>
      <w:r w:rsidRPr="00EE04FD">
        <w:rPr>
          <w:b/>
          <w:bCs/>
        </w:rPr>
        <w:fldChar w:fldCharType="begin"/>
      </w:r>
      <w:r w:rsidRPr="00EE04FD">
        <w:rPr>
          <w:b/>
          <w:bCs/>
        </w:rPr>
        <w:instrText xml:space="preserve"> HYPERLINK "https://casetext.com/case/sheldon-v-sheldon-13?jxs=tx&amp;p=1&amp;q=The+Court%E2%80%99s+judgment+in+this+case+is+void+for+lack+of+subject+matter+jurisdiction%2C+not+merely+voidable%2C+a+key+distinction.+While+voidable+judgments+must+be+challenged+within+normal+appellate+time+constraints%2C+there+is+no+deadline+to+challenge+a+judgment+that+is+void+for+lack+of+subject+matter+jurisdiction.&amp;sort=relevance&amp;type=case&amp;ssr=false&amp;scrollTo=true&amp;find=" </w:instrText>
      </w:r>
      <w:r w:rsidRPr="00EE04FD">
        <w:rPr>
          <w:b/>
          <w:bCs/>
        </w:rPr>
        <w:fldChar w:fldCharType="separate"/>
      </w:r>
      <w:r w:rsidRPr="00EE04FD">
        <w:rPr>
          <w:b/>
          <w:bCs/>
          <w:color w:val="0000FF"/>
          <w:u w:val="single"/>
        </w:rPr>
        <w:t>Sheldon v. Sheldon</w:t>
      </w:r>
      <w:r w:rsidRPr="00EE04FD">
        <w:rPr>
          <w:b/>
          <w:bCs/>
        </w:rPr>
        <w:fldChar w:fldCharType="end"/>
      </w:r>
    </w:p>
    <w:p w:rsidR="00EE04FD" w:rsidRPr="00EE04FD" w:rsidRDefault="00EE04FD" w:rsidP="00EE04FD">
      <w:r w:rsidRPr="00EE04FD">
        <w:t>NO. 03-11-00803-CV (Tex. App. Nov. 22, 2013</w:t>
      </w:r>
      <w:proofErr w:type="gramStart"/>
      <w:r w:rsidRPr="00EE04FD">
        <w:t>)Cited</w:t>
      </w:r>
      <w:proofErr w:type="gramEnd"/>
      <w:r w:rsidRPr="00EE04FD">
        <w:t xml:space="preserve"> 3 times</w:t>
      </w:r>
    </w:p>
    <w:p w:rsidR="00EE04FD" w:rsidRPr="00EE04FD" w:rsidRDefault="00EE04FD" w:rsidP="00EE04FD">
      <w:hyperlink r:id="rId6" w:anchor="pa47" w:history="1">
        <w:r w:rsidRPr="00EE04FD">
          <w:rPr>
            <w:i/>
            <w:iCs/>
            <w:color w:val="0000FF"/>
            <w:u w:val="single"/>
          </w:rPr>
          <w:t>Errors other than lack of jurisdiction render a judgment merely voidable, and it must be attacked within the prescribed time limits.</w:t>
        </w:r>
        <w:r w:rsidRPr="00EE04FD">
          <w:rPr>
            <w:color w:val="0000FF"/>
            <w:u w:val="single"/>
          </w:rPr>
          <w:t xml:space="preserve"> Hagen, </w:t>
        </w:r>
        <w:proofErr w:type="gramStart"/>
        <w:r w:rsidRPr="00EE04FD">
          <w:rPr>
            <w:color w:val="0000FF"/>
            <w:u w:val="single"/>
          </w:rPr>
          <w:t>282 S.W.3d at 902</w:t>
        </w:r>
        <w:proofErr w:type="gramEnd"/>
        <w:r w:rsidRPr="00EE04FD">
          <w:rPr>
            <w:color w:val="0000FF"/>
            <w:u w:val="single"/>
          </w:rPr>
          <w:t>; Baxter, 794 S.W.2d at 762.</w:t>
        </w:r>
      </w:hyperlink>
    </w:p>
    <w:p w:rsidR="00D653E0" w:rsidRDefault="00D653E0" w:rsidP="00DD7B9E">
      <w:pPr>
        <w:pStyle w:val="NoSpacing"/>
      </w:pPr>
    </w:p>
    <w:p w:rsidR="00EE04FD" w:rsidRDefault="00EE04FD" w:rsidP="00DD7B9E">
      <w:pPr>
        <w:pStyle w:val="NoSpacing"/>
      </w:pPr>
    </w:p>
    <w:p w:rsidR="00EE04FD" w:rsidRDefault="00EE04FD" w:rsidP="00DD7B9E">
      <w:pPr>
        <w:pStyle w:val="NoSpacing"/>
      </w:pPr>
    </w:p>
    <w:p w:rsidR="00EE04FD" w:rsidRDefault="00EE04FD" w:rsidP="00DD7B9E">
      <w:pPr>
        <w:pStyle w:val="NoSpacing"/>
      </w:pPr>
    </w:p>
    <w:p w:rsidR="00EE04FD" w:rsidRDefault="00EE04FD" w:rsidP="00EE04FD">
      <w:r>
        <w:t xml:space="preserve">“Errors other than lack of jurisdiction render the judgment merely voidable and must be attacked within the prescribed time limits."). ” </w:t>
      </w:r>
      <w:hyperlink r:id="rId7" w:anchor="pa43" w:history="1">
        <w:r w:rsidRPr="00EE04FD">
          <w:rPr>
            <w:rStyle w:val="Hyperlink"/>
            <w:i/>
            <w:iCs/>
          </w:rPr>
          <w:t>In re Interest of D.C.</w:t>
        </w:r>
        <w:r w:rsidRPr="00EE04FD">
          <w:rPr>
            <w:rStyle w:val="Hyperlink"/>
          </w:rPr>
          <w:t>, No. 13-15-00486-CV, at *10</w:t>
        </w:r>
      </w:hyperlink>
      <w:r>
        <w:t xml:space="preserve"> (Tex. App. July 21, 2016)</w:t>
      </w:r>
    </w:p>
    <w:p w:rsidR="00EE04FD" w:rsidRDefault="00EE04FD" w:rsidP="00DD7B9E">
      <w:pPr>
        <w:pStyle w:val="NoSpacing"/>
      </w:pPr>
    </w:p>
    <w:p w:rsidR="00EE04FD" w:rsidRDefault="00EE04FD" w:rsidP="00DD7B9E">
      <w:pPr>
        <w:pStyle w:val="NoSpacing"/>
      </w:pPr>
    </w:p>
    <w:p w:rsidR="00EE04FD" w:rsidRDefault="00EE04FD" w:rsidP="00DD7B9E">
      <w:pPr>
        <w:pStyle w:val="NoSpacing"/>
      </w:pPr>
      <w:r>
        <w:t xml:space="preserve">After the time to file an appeal has expired, a party to a final judgment may collaterally attack the judgment on the ground that the judgment was void. </w:t>
      </w:r>
      <w:proofErr w:type="gramStart"/>
      <w:r>
        <w:rPr>
          <w:i/>
          <w:iCs/>
        </w:rPr>
        <w:t>PNS Stores, Inc. v. Rivera</w:t>
      </w:r>
      <w:r>
        <w:t xml:space="preserve">, </w:t>
      </w:r>
      <w:hyperlink r:id="rId8" w:anchor="p272" w:history="1">
        <w:r>
          <w:rPr>
            <w:rStyle w:val="Hyperlink"/>
          </w:rPr>
          <w:t>379 S.W.3d 267, 272</w:t>
        </w:r>
      </w:hyperlink>
      <w:r>
        <w:t xml:space="preserve"> (Tex. 2012).</w:t>
      </w:r>
      <w:proofErr w:type="gramEnd"/>
      <w:r>
        <w:t xml:space="preserve"> A judgment is void, rather than merely voidable, when the court rendering judgment lacked jurisdiction. </w:t>
      </w:r>
      <w:r>
        <w:rPr>
          <w:i/>
          <w:iCs/>
        </w:rPr>
        <w:t>Id.</w:t>
      </w:r>
      <w:r>
        <w:t xml:space="preserve"> Though a QDRO is a final appealable order to which res judicata applies, a party may collaterally attack a QDRO if she can show it is void. </w:t>
      </w:r>
      <w:proofErr w:type="spellStart"/>
      <w:r>
        <w:rPr>
          <w:i/>
          <w:iCs/>
        </w:rPr>
        <w:t>Gainous</w:t>
      </w:r>
      <w:proofErr w:type="spellEnd"/>
      <w:r>
        <w:rPr>
          <w:i/>
          <w:iCs/>
        </w:rPr>
        <w:t xml:space="preserve"> v. </w:t>
      </w:r>
      <w:proofErr w:type="spellStart"/>
      <w:r>
        <w:rPr>
          <w:i/>
          <w:iCs/>
        </w:rPr>
        <w:t>Gainous</w:t>
      </w:r>
      <w:proofErr w:type="spellEnd"/>
      <w:r>
        <w:t xml:space="preserve">, </w:t>
      </w:r>
      <w:hyperlink r:id="rId9" w:anchor="p105" w:history="1">
        <w:r>
          <w:rPr>
            <w:rStyle w:val="Hyperlink"/>
          </w:rPr>
          <w:t>219 S.W.3d 97, 105-06</w:t>
        </w:r>
      </w:hyperlink>
      <w:r>
        <w:t xml:space="preserve"> (Tex. App.-Houston [</w:t>
      </w:r>
      <w:proofErr w:type="gramStart"/>
      <w:r>
        <w:t>1st</w:t>
      </w:r>
      <w:proofErr w:type="gramEnd"/>
      <w:r>
        <w:t xml:space="preserve"> Dist.] 2006, pet. denied) (citing </w:t>
      </w:r>
      <w:r>
        <w:rPr>
          <w:i/>
          <w:iCs/>
        </w:rPr>
        <w:t xml:space="preserve">Baxter v. </w:t>
      </w:r>
      <w:proofErr w:type="spellStart"/>
      <w:r>
        <w:rPr>
          <w:i/>
          <w:iCs/>
        </w:rPr>
        <w:t>Ruddle</w:t>
      </w:r>
      <w:proofErr w:type="spellEnd"/>
      <w:r>
        <w:t xml:space="preserve">, </w:t>
      </w:r>
      <w:hyperlink r:id="rId10" w:anchor="p762" w:history="1">
        <w:r>
          <w:rPr>
            <w:rStyle w:val="Hyperlink"/>
          </w:rPr>
          <w:t>794 S.W.2d 761, 762</w:t>
        </w:r>
      </w:hyperlink>
      <w:r>
        <w:t xml:space="preserve"> (Tex. 1990)). </w:t>
      </w:r>
    </w:p>
    <w:p w:rsidR="00EE04FD" w:rsidRDefault="00EE04FD" w:rsidP="00DD7B9E">
      <w:pPr>
        <w:pStyle w:val="NoSpacing"/>
      </w:pPr>
      <w:r>
        <w:rPr>
          <w:i/>
          <w:iCs/>
        </w:rPr>
        <w:t>Bowles v. Bowles</w:t>
      </w:r>
      <w:r>
        <w:t>, No. 08-23-00311-CV, at *4 (Tex. App. Apr. 26, 2024)</w:t>
      </w:r>
    </w:p>
    <w:p w:rsidR="00EE04FD" w:rsidRDefault="00EE04FD" w:rsidP="00DD7B9E">
      <w:pPr>
        <w:pStyle w:val="NoSpacing"/>
      </w:pPr>
    </w:p>
    <w:p w:rsidR="00EE04FD" w:rsidRDefault="00EE04FD" w:rsidP="00DD7B9E">
      <w:pPr>
        <w:pStyle w:val="NoSpacing"/>
      </w:pPr>
      <w:r>
        <w:t>Lack of subject matter jurisdiction renders a judgment void, rather than merely voidable, so that it may be challenged either directly or collaterally. See and compare, Browning v. Placke</w:t>
      </w:r>
      <w:proofErr w:type="gramStart"/>
      <w:r>
        <w:t>,698</w:t>
      </w:r>
      <w:proofErr w:type="gramEnd"/>
      <w:r>
        <w:t xml:space="preserve"> S.W.2d 362 (Tex. 1985) </w:t>
      </w:r>
      <w:r w:rsidR="00110A51">
        <w:t xml:space="preserve"> </w:t>
      </w:r>
    </w:p>
    <w:p w:rsidR="00EE04FD" w:rsidRDefault="00EE04FD" w:rsidP="00DD7B9E">
      <w:pPr>
        <w:pStyle w:val="NoSpacing"/>
      </w:pPr>
      <w:r>
        <w:t>Miller v. Woods, 872 S.W.2d 343, 346 (Tex. App. 1994)</w:t>
      </w:r>
    </w:p>
    <w:p w:rsidR="00EE04FD" w:rsidRDefault="00EE04FD" w:rsidP="00DD7B9E">
      <w:pPr>
        <w:pStyle w:val="NoSpacing"/>
      </w:pPr>
    </w:p>
    <w:p w:rsidR="00DD7B9E" w:rsidRPr="00DD7B9E" w:rsidRDefault="00DD7B9E" w:rsidP="00DD7B9E">
      <w:pPr>
        <w:spacing w:before="100" w:beforeAutospacing="1" w:after="100" w:afterAutospacing="1"/>
        <w:outlineLvl w:val="3"/>
        <w:rPr>
          <w:b/>
          <w:bCs/>
        </w:rPr>
      </w:pPr>
      <w:proofErr w:type="gramStart"/>
      <w:r w:rsidRPr="00DD7B9E">
        <w:rPr>
          <w:rFonts w:hAnsi="Symbol"/>
          <w:b/>
          <w:bCs/>
        </w:rPr>
        <w:t></w:t>
      </w:r>
      <w:r w:rsidRPr="00DD7B9E">
        <w:rPr>
          <w:b/>
          <w:bCs/>
        </w:rPr>
        <w:t xml:space="preserve">  </w:t>
      </w:r>
      <w:proofErr w:type="gramEnd"/>
      <w:r w:rsidRPr="00DD7B9E">
        <w:rPr>
          <w:b/>
          <w:bCs/>
        </w:rPr>
        <w:fldChar w:fldCharType="begin"/>
      </w:r>
      <w:r w:rsidRPr="00DD7B9E">
        <w:rPr>
          <w:b/>
          <w:bCs/>
        </w:rPr>
        <w:instrText xml:space="preserve"> HYPERLINK "https://casetext.com/case/bancorpsouth-b-v-prevot?jxs=5cir%2Cus%2Ctx&amp;p=1&amp;q=Statutes+of+limitations+do+not+apply+to+Judgments+void+for+want+of+subject+matter+jurisdiction&amp;sort=relevance&amp;type=case&amp;ssr=false&amp;scrollTo=true&amp;find=" </w:instrText>
      </w:r>
      <w:r w:rsidRPr="00DD7B9E">
        <w:rPr>
          <w:b/>
          <w:bCs/>
        </w:rPr>
        <w:fldChar w:fldCharType="separate"/>
      </w:r>
      <w:proofErr w:type="spellStart"/>
      <w:r w:rsidRPr="00DD7B9E">
        <w:rPr>
          <w:b/>
          <w:bCs/>
          <w:color w:val="0000FF"/>
          <w:u w:val="single"/>
        </w:rPr>
        <w:t>Bancorpsouth</w:t>
      </w:r>
      <w:proofErr w:type="spellEnd"/>
      <w:r w:rsidRPr="00DD7B9E">
        <w:rPr>
          <w:b/>
          <w:bCs/>
          <w:color w:val="0000FF"/>
          <w:u w:val="single"/>
        </w:rPr>
        <w:t xml:space="preserve"> B. v. </w:t>
      </w:r>
      <w:proofErr w:type="spellStart"/>
      <w:r w:rsidRPr="00DD7B9E">
        <w:rPr>
          <w:b/>
          <w:bCs/>
          <w:color w:val="0000FF"/>
          <w:u w:val="single"/>
        </w:rPr>
        <w:t>Prevot</w:t>
      </w:r>
      <w:proofErr w:type="spellEnd"/>
      <w:r w:rsidRPr="00DD7B9E">
        <w:rPr>
          <w:b/>
          <w:bCs/>
        </w:rPr>
        <w:fldChar w:fldCharType="end"/>
      </w:r>
    </w:p>
    <w:p w:rsidR="00DD7B9E" w:rsidRPr="00DD7B9E" w:rsidRDefault="00DD7B9E" w:rsidP="00DD7B9E">
      <w:r w:rsidRPr="00DD7B9E">
        <w:t>No. 14-06-00302-CV (Tex. App. Feb. 26, 2008)</w:t>
      </w:r>
    </w:p>
    <w:p w:rsidR="00DD7B9E" w:rsidRPr="00DD7B9E" w:rsidRDefault="00DD7B9E" w:rsidP="00DD7B9E">
      <w:pPr>
        <w:pStyle w:val="NoSpacing"/>
      </w:pPr>
      <w:r w:rsidRPr="00DD7B9E">
        <w:rPr>
          <w:rFonts w:eastAsia="Times New Roman"/>
        </w:rPr>
        <w:t xml:space="preserve">In one line of cases, the Texas Supreme Court has held that a bill of review is the only method by which a trial court may set aside its judgment after its plenary power has expired unless the court lacked "jurisdictional power" to render the judgment. Middleton v. </w:t>
      </w:r>
      <w:proofErr w:type="spellStart"/>
      <w:r w:rsidRPr="00DD7B9E">
        <w:rPr>
          <w:rFonts w:eastAsia="Times New Roman"/>
        </w:rPr>
        <w:t>Murff</w:t>
      </w:r>
      <w:proofErr w:type="spellEnd"/>
      <w:r w:rsidRPr="00DD7B9E">
        <w:rPr>
          <w:rFonts w:eastAsia="Times New Roman"/>
        </w:rPr>
        <w:t xml:space="preserve">, 689 S.W.2d 212, 213 (Tex. 1985) (citing </w:t>
      </w:r>
      <w:proofErr w:type="spellStart"/>
      <w:r w:rsidRPr="00DD7B9E">
        <w:rPr>
          <w:rFonts w:eastAsia="Times New Roman"/>
        </w:rPr>
        <w:t>Deen</w:t>
      </w:r>
      <w:proofErr w:type="spellEnd"/>
      <w:r w:rsidRPr="00DD7B9E">
        <w:rPr>
          <w:rFonts w:eastAsia="Times New Roman"/>
        </w:rPr>
        <w:t xml:space="preserve"> v. Kirk, 508 S.W.2d 70, 72 (Tex. 1974); McEwen v. Harrison, 345 S.W.2d 706, 710 (Tex. 1961) (orig. proceeding</w:t>
      </w:r>
      <w:r w:rsidRPr="00DD7B9E">
        <w:rPr>
          <w:rFonts w:eastAsia="Times New Roman"/>
        </w:rPr>
        <w:t>)</w:t>
      </w:r>
      <w:r w:rsidRPr="00DD7B9E">
        <w:rPr>
          <w:rFonts w:eastAsia="Times New Roman"/>
        </w:rPr>
        <w:t xml:space="preserve">). In this context, "jurisdictional power" means "`jurisdiction over the subject matter, the power to hear and determine cases of the general class to which the particular one belongs.'" Middleton, 689 S.W.2d at 213 (quoting </w:t>
      </w:r>
      <w:proofErr w:type="spellStart"/>
      <w:r w:rsidRPr="00DD7B9E">
        <w:rPr>
          <w:rFonts w:eastAsia="Times New Roman"/>
        </w:rPr>
        <w:t>Deen</w:t>
      </w:r>
      <w:proofErr w:type="spellEnd"/>
      <w:r w:rsidRPr="00DD7B9E">
        <w:rPr>
          <w:rFonts w:eastAsia="Times New Roman"/>
        </w:rPr>
        <w:t xml:space="preserve">, 508 S.W.2d at 72). </w:t>
      </w:r>
      <w:r w:rsidRPr="00DD7B9E">
        <w:rPr>
          <w:i/>
          <w:iCs/>
        </w:rPr>
        <w:t xml:space="preserve">The court recognized that a judgment may be void for reasons other than lack of subject </w:t>
      </w:r>
      <w:r w:rsidRPr="00DD7B9E">
        <w:rPr>
          <w:i/>
          <w:iCs/>
        </w:rPr>
        <w:lastRenderedPageBreak/>
        <w:t>matter jurisdiction, but a judgment may not be set aside at any time on the ground it is void.</w:t>
      </w:r>
      <w:r w:rsidRPr="00DD7B9E">
        <w:rPr>
          <w:rFonts w:eastAsia="Times New Roman"/>
        </w:rPr>
        <w:t xml:space="preserve"> See Middleton, 689 S.W.2d at 213 (citing </w:t>
      </w:r>
      <w:proofErr w:type="spellStart"/>
      <w:r w:rsidRPr="00DD7B9E">
        <w:rPr>
          <w:rFonts w:eastAsia="Times New Roman"/>
        </w:rPr>
        <w:t>Deen</w:t>
      </w:r>
      <w:proofErr w:type="spellEnd"/>
      <w:r w:rsidRPr="00DD7B9E">
        <w:rPr>
          <w:rFonts w:eastAsia="Times New Roman"/>
        </w:rPr>
        <w:t>, 508 S.W.2d at 72; McEwen, 345 S.W.2d at 710).</w:t>
      </w:r>
    </w:p>
    <w:p w:rsidR="00EE04FD" w:rsidRDefault="00EE04FD" w:rsidP="00DD7B9E">
      <w:pPr>
        <w:pStyle w:val="NoSpacing"/>
      </w:pPr>
    </w:p>
    <w:p w:rsidR="00D834DB" w:rsidRDefault="00D834DB" w:rsidP="00D834DB">
      <w:pPr>
        <w:pStyle w:val="Heading4"/>
      </w:pPr>
      <w:hyperlink r:id="rId11" w:history="1">
        <w:r>
          <w:rPr>
            <w:rStyle w:val="Hyperlink"/>
          </w:rPr>
          <w:t>PNS Stores, Inc. v. Rivera ex rel. Rivera</w:t>
        </w:r>
      </w:hyperlink>
    </w:p>
    <w:p w:rsidR="00D834DB" w:rsidRDefault="00D834DB" w:rsidP="00D834DB">
      <w:proofErr w:type="gramStart"/>
      <w:r>
        <w:rPr>
          <w:rStyle w:val="ct-search-result-citation"/>
        </w:rPr>
        <w:t>55</w:t>
      </w:r>
      <w:proofErr w:type="gramEnd"/>
      <w:r>
        <w:rPr>
          <w:rStyle w:val="ct-search-result-citation"/>
        </w:rPr>
        <w:t xml:space="preserve"> Tex. Sup. Ct. J. 1400 (Tex. 2012</w:t>
      </w:r>
      <w:proofErr w:type="gramStart"/>
      <w:r>
        <w:rPr>
          <w:rStyle w:val="ct-search-result-citation"/>
        </w:rPr>
        <w:t>)</w:t>
      </w:r>
      <w:r>
        <w:rPr>
          <w:rStyle w:val="ct-search-result-cite-count"/>
        </w:rPr>
        <w:t>Cited</w:t>
      </w:r>
      <w:proofErr w:type="gramEnd"/>
      <w:r>
        <w:rPr>
          <w:rStyle w:val="ct-search-result-cite-count"/>
        </w:rPr>
        <w:t xml:space="preserve"> 266 times</w:t>
      </w:r>
    </w:p>
    <w:p w:rsidR="00D834DB" w:rsidRDefault="00D834DB" w:rsidP="00D834DB">
      <w:r>
        <w:rPr>
          <w:rStyle w:val="summary-prefix-pmt"/>
        </w:rPr>
        <w:t>Judge's Summary</w:t>
      </w:r>
      <w:r>
        <w:rPr>
          <w:rStyle w:val="muitypography-root"/>
        </w:rPr>
        <w:t xml:space="preserve"> — </w:t>
      </w:r>
      <w:proofErr w:type="gramStart"/>
      <w:r>
        <w:rPr>
          <w:rStyle w:val="ct-result-summary-snippet"/>
          <w:rFonts w:eastAsiaTheme="majorEastAsia"/>
        </w:rPr>
        <w:t>Stating</w:t>
      </w:r>
      <w:proofErr w:type="gramEnd"/>
      <w:r>
        <w:rPr>
          <w:rStyle w:val="ct-result-summary-snippet"/>
          <w:rFonts w:eastAsiaTheme="majorEastAsia"/>
        </w:rPr>
        <w:t xml:space="preserve"> trial court's prior </w:t>
      </w:r>
      <w:r>
        <w:rPr>
          <w:rStyle w:val="Emphasis"/>
        </w:rPr>
        <w:t>judgment</w:t>
      </w:r>
      <w:r>
        <w:rPr>
          <w:rStyle w:val="ct-result-summary-snippet"/>
          <w:rFonts w:eastAsiaTheme="majorEastAsia"/>
        </w:rPr>
        <w:t xml:space="preserve"> is </w:t>
      </w:r>
      <w:r>
        <w:rPr>
          <w:rStyle w:val="Emphasis"/>
        </w:rPr>
        <w:t>void</w:t>
      </w:r>
      <w:r>
        <w:rPr>
          <w:rStyle w:val="ct-result-summary-snippet"/>
          <w:rFonts w:eastAsiaTheme="majorEastAsia"/>
        </w:rPr>
        <w:t xml:space="preserve"> and </w:t>
      </w:r>
      <w:r>
        <w:rPr>
          <w:rStyle w:val="Emphasis"/>
        </w:rPr>
        <w:t>subject</w:t>
      </w:r>
      <w:r>
        <w:rPr>
          <w:rStyle w:val="ct-result-summary-snippet"/>
          <w:rFonts w:eastAsiaTheme="majorEastAsia"/>
        </w:rPr>
        <w:t xml:space="preserve"> to collateral </w:t>
      </w:r>
      <w:r>
        <w:rPr>
          <w:rStyle w:val="Emphasis"/>
        </w:rPr>
        <w:t>attack</w:t>
      </w:r>
      <w:r>
        <w:rPr>
          <w:rStyle w:val="ct-result-summary-snippet"/>
          <w:rFonts w:eastAsiaTheme="majorEastAsia"/>
        </w:rPr>
        <w:t xml:space="preserve"> if record affirmatively demonstrates that court lacked </w:t>
      </w:r>
      <w:r>
        <w:rPr>
          <w:rStyle w:val="Emphasis"/>
        </w:rPr>
        <w:t>subject</w:t>
      </w:r>
      <w:r>
        <w:rPr>
          <w:rStyle w:val="ct-result-summary-snippet"/>
          <w:rFonts w:eastAsiaTheme="majorEastAsia"/>
        </w:rPr>
        <w:t xml:space="preserve"> matter jurisdiction over suit</w:t>
      </w:r>
    </w:p>
    <w:p w:rsidR="00D834DB" w:rsidRDefault="00D834DB" w:rsidP="00D834DB">
      <w:proofErr w:type="gramStart"/>
      <w:r>
        <w:rPr>
          <w:rStyle w:val="css-pkhy8p"/>
        </w:rPr>
        <w:t>1</w:t>
      </w:r>
      <w:proofErr w:type="gramEnd"/>
      <w:r>
        <w:rPr>
          <w:rStyle w:val="css-pkhy8p"/>
        </w:rPr>
        <w:t xml:space="preserve"> of 3</w:t>
      </w:r>
    </w:p>
    <w:p w:rsidR="00D834DB" w:rsidRDefault="00D834DB" w:rsidP="00D834DB">
      <w:hyperlink r:id="rId12" w:history="1">
        <w:proofErr w:type="gramStart"/>
        <w:r>
          <w:rPr>
            <w:rStyle w:val="Hyperlink"/>
            <w:rFonts w:eastAsiaTheme="minorEastAsia"/>
          </w:rPr>
          <w:t xml:space="preserve">…the </w:t>
        </w:r>
        <w:r>
          <w:rPr>
            <w:rStyle w:val="Emphasis"/>
            <w:color w:val="0000FF"/>
            <w:u w:val="single"/>
          </w:rPr>
          <w:t>judgment's</w:t>
        </w:r>
        <w:r>
          <w:rPr>
            <w:rStyle w:val="Hyperlink"/>
            <w:rFonts w:eastAsiaTheme="minorEastAsia"/>
          </w:rPr>
          <w:t xml:space="preserve"> rendition.</w:t>
        </w:r>
        <w:proofErr w:type="gramEnd"/>
        <w:r>
          <w:rPr>
            <w:rStyle w:val="Hyperlink"/>
            <w:rFonts w:eastAsiaTheme="minorEastAsia"/>
          </w:rPr>
          <w:t xml:space="preserve"> A </w:t>
        </w:r>
        <w:r>
          <w:rPr>
            <w:rStyle w:val="Emphasis"/>
            <w:color w:val="0000FF"/>
            <w:u w:val="single"/>
          </w:rPr>
          <w:t>void judgment</w:t>
        </w:r>
        <w:r>
          <w:rPr>
            <w:rStyle w:val="Hyperlink"/>
            <w:rFonts w:eastAsiaTheme="minorEastAsia"/>
          </w:rPr>
          <w:t xml:space="preserve">, on the other hand, </w:t>
        </w:r>
        <w:proofErr w:type="gramStart"/>
        <w:r>
          <w:rPr>
            <w:rStyle w:val="Hyperlink"/>
            <w:rFonts w:eastAsiaTheme="minorEastAsia"/>
          </w:rPr>
          <w:t>can be collaterally attacked</w:t>
        </w:r>
        <w:proofErr w:type="gramEnd"/>
        <w:r>
          <w:rPr>
            <w:rStyle w:val="Hyperlink"/>
            <w:rFonts w:eastAsiaTheme="minorEastAsia"/>
          </w:rPr>
          <w:t xml:space="preserve"> at any </w:t>
        </w:r>
        <w:r>
          <w:rPr>
            <w:rStyle w:val="Emphasis"/>
            <w:color w:val="0000FF"/>
            <w:u w:val="single"/>
          </w:rPr>
          <w:t>time</w:t>
        </w:r>
        <w:r>
          <w:rPr>
            <w:rStyle w:val="Hyperlink"/>
            <w:rFonts w:eastAsiaTheme="minorEastAsia"/>
          </w:rPr>
          <w:t xml:space="preserve">. </w:t>
        </w:r>
        <w:proofErr w:type="gramStart"/>
        <w:r>
          <w:rPr>
            <w:rStyle w:val="Hyperlink"/>
            <w:rFonts w:eastAsiaTheme="minorEastAsia"/>
          </w:rPr>
          <w:t>In re E.R., ––– S.W.3d ––––, –––– (Tex.2012).</w:t>
        </w:r>
        <w:proofErr w:type="gramEnd"/>
        <w:r>
          <w:rPr>
            <w:rStyle w:val="Hyperlink"/>
            <w:rFonts w:eastAsiaTheme="minorEastAsia"/>
          </w:rPr>
          <w:t xml:space="preserve"> A collateral </w:t>
        </w:r>
        <w:r>
          <w:rPr>
            <w:rStyle w:val="Emphasis"/>
            <w:color w:val="0000FF"/>
            <w:u w:val="single"/>
          </w:rPr>
          <w:t>attack</w:t>
        </w:r>
        <w:r>
          <w:rPr>
            <w:rStyle w:val="Hyperlink"/>
            <w:rFonts w:eastAsiaTheme="minorEastAsia"/>
          </w:rPr>
          <w:t xml:space="preserve"> seeks to avoid the binding effect…</w:t>
        </w:r>
      </w:hyperlink>
    </w:p>
    <w:p w:rsidR="009E14AD" w:rsidRDefault="009E14AD">
      <w:pPr>
        <w:rPr>
          <w:rFonts w:eastAsiaTheme="majorEastAsia" w:cstheme="minorBidi"/>
          <w:bCs/>
          <w:color w:val="212121"/>
          <w:szCs w:val="20"/>
        </w:rPr>
      </w:pPr>
    </w:p>
    <w:p w:rsidR="00D834DB" w:rsidRPr="00D834DB" w:rsidRDefault="00D834DB" w:rsidP="00D834DB">
      <w:pPr>
        <w:pStyle w:val="Heading4"/>
        <w:rPr>
          <w:rFonts w:ascii="Times New Roman" w:eastAsia="Times New Roman" w:hAnsi="Times New Roman" w:cs="Times New Roman"/>
          <w:i w:val="0"/>
          <w:iCs w:val="0"/>
          <w:color w:val="auto"/>
        </w:rPr>
      </w:pPr>
      <w:proofErr w:type="gramStart"/>
      <w:r w:rsidRPr="00D834DB">
        <w:rPr>
          <w:rFonts w:ascii="Times New Roman" w:eastAsia="Times New Roman" w:hAnsi="Symbol" w:cs="Times New Roman"/>
          <w:i w:val="0"/>
          <w:iCs w:val="0"/>
          <w:color w:val="auto"/>
        </w:rPr>
        <w:t></w:t>
      </w:r>
      <w:r w:rsidRPr="00D834DB">
        <w:rPr>
          <w:rFonts w:ascii="Times New Roman" w:eastAsia="Times New Roman" w:hAnsi="Times New Roman" w:cs="Times New Roman"/>
          <w:i w:val="0"/>
          <w:iCs w:val="0"/>
          <w:color w:val="auto"/>
        </w:rPr>
        <w:t xml:space="preserve">  </w:t>
      </w:r>
      <w:proofErr w:type="gramEnd"/>
      <w:r w:rsidRPr="00D834DB">
        <w:rPr>
          <w:rFonts w:ascii="Times New Roman" w:eastAsia="Times New Roman" w:hAnsi="Times New Roman" w:cs="Times New Roman"/>
          <w:i w:val="0"/>
          <w:iCs w:val="0"/>
          <w:color w:val="auto"/>
        </w:rPr>
        <w:fldChar w:fldCharType="begin"/>
      </w:r>
      <w:r w:rsidRPr="00D834DB">
        <w:rPr>
          <w:rFonts w:ascii="Times New Roman" w:eastAsia="Times New Roman" w:hAnsi="Times New Roman" w:cs="Times New Roman"/>
          <w:i w:val="0"/>
          <w:iCs w:val="0"/>
          <w:color w:val="auto"/>
        </w:rPr>
        <w:instrText xml:space="preserve"> HYPERLINK "https://casetext.com/case/fehlhaber-v-fehlhaber-2?jxs=5cir%2Cus%2Ctx&amp;p=1&amp;q=Statutes+of+limitations+do+not+apply+to+Judgments+void+for+want+of+subject+matter+jurisdiction&amp;sort=relevance&amp;type=case&amp;ssr=false&amp;scrollTo=true&amp;find=" </w:instrText>
      </w:r>
      <w:r w:rsidRPr="00D834DB">
        <w:rPr>
          <w:rFonts w:ascii="Times New Roman" w:eastAsia="Times New Roman" w:hAnsi="Times New Roman" w:cs="Times New Roman"/>
          <w:i w:val="0"/>
          <w:iCs w:val="0"/>
          <w:color w:val="auto"/>
        </w:rPr>
        <w:fldChar w:fldCharType="separate"/>
      </w:r>
      <w:proofErr w:type="spellStart"/>
      <w:r w:rsidRPr="00D834DB">
        <w:rPr>
          <w:rFonts w:ascii="Times New Roman" w:eastAsia="Times New Roman" w:hAnsi="Times New Roman" w:cs="Times New Roman"/>
          <w:i w:val="0"/>
          <w:iCs w:val="0"/>
          <w:color w:val="0000FF"/>
          <w:u w:val="single"/>
        </w:rPr>
        <w:t>Fehlhaber</w:t>
      </w:r>
      <w:proofErr w:type="spellEnd"/>
      <w:r w:rsidRPr="00D834DB">
        <w:rPr>
          <w:rFonts w:ascii="Times New Roman" w:eastAsia="Times New Roman" w:hAnsi="Times New Roman" w:cs="Times New Roman"/>
          <w:i w:val="0"/>
          <w:iCs w:val="0"/>
          <w:color w:val="0000FF"/>
          <w:u w:val="single"/>
        </w:rPr>
        <w:t xml:space="preserve"> v. </w:t>
      </w:r>
      <w:proofErr w:type="spellStart"/>
      <w:r w:rsidRPr="00D834DB">
        <w:rPr>
          <w:rFonts w:ascii="Times New Roman" w:eastAsia="Times New Roman" w:hAnsi="Times New Roman" w:cs="Times New Roman"/>
          <w:i w:val="0"/>
          <w:iCs w:val="0"/>
          <w:color w:val="0000FF"/>
          <w:u w:val="single"/>
        </w:rPr>
        <w:t>Fehlhaber</w:t>
      </w:r>
      <w:proofErr w:type="spellEnd"/>
      <w:r w:rsidRPr="00D834DB">
        <w:rPr>
          <w:rFonts w:ascii="Times New Roman" w:eastAsia="Times New Roman" w:hAnsi="Times New Roman" w:cs="Times New Roman"/>
          <w:i w:val="0"/>
          <w:iCs w:val="0"/>
          <w:color w:val="auto"/>
        </w:rPr>
        <w:fldChar w:fldCharType="end"/>
      </w:r>
    </w:p>
    <w:p w:rsidR="00D834DB" w:rsidRPr="00D834DB" w:rsidRDefault="00D834DB" w:rsidP="00D834DB">
      <w:r w:rsidRPr="00D834DB">
        <w:t>681 F.2d 1015 (5th Cir. 1982</w:t>
      </w:r>
      <w:proofErr w:type="gramStart"/>
      <w:r w:rsidRPr="00D834DB">
        <w:t>)Cited</w:t>
      </w:r>
      <w:proofErr w:type="gramEnd"/>
      <w:r w:rsidRPr="00D834DB">
        <w:t xml:space="preserve"> 154 times</w:t>
      </w:r>
    </w:p>
    <w:p w:rsidR="00D834DB" w:rsidRPr="00D834DB" w:rsidRDefault="00D834DB" w:rsidP="00D834DB">
      <w:r w:rsidRPr="00D834DB">
        <w:t>Judge's Summary — binding under Stein v. Reynolds Securities, Inc., 667 F.2d 33, 34 (11th Cir. 1982)</w:t>
      </w:r>
    </w:p>
    <w:p w:rsidR="00D834DB" w:rsidRPr="00D834DB" w:rsidRDefault="00D834DB" w:rsidP="00D834DB">
      <w:pPr>
        <w:pStyle w:val="NoSpacing"/>
      </w:pPr>
      <w:r w:rsidRPr="00D834DB">
        <w:rPr>
          <w:rFonts w:eastAsia="Times New Roman"/>
        </w:rPr>
        <w:t xml:space="preserve">The requirement of full faith and credit </w:t>
      </w:r>
      <w:proofErr w:type="gramStart"/>
      <w:r w:rsidRPr="00D834DB">
        <w:rPr>
          <w:rFonts w:eastAsia="Times New Roman"/>
        </w:rPr>
        <w:t>is tempered</w:t>
      </w:r>
      <w:proofErr w:type="gramEnd"/>
      <w:r w:rsidRPr="00D834DB">
        <w:rPr>
          <w:rFonts w:eastAsia="Times New Roman"/>
        </w:rPr>
        <w:t xml:space="preserve">, however, by "some basic limitations." Underwriters National Assurance Co. v. North Carolina Life and Accident and Health Insurance Guaranty Assoc., ___ U.S. ___, ___, 102 </w:t>
      </w:r>
      <w:proofErr w:type="spellStart"/>
      <w:r w:rsidRPr="00D834DB">
        <w:rPr>
          <w:rFonts w:eastAsia="Times New Roman"/>
        </w:rPr>
        <w:t>S.Ct</w:t>
      </w:r>
      <w:proofErr w:type="spellEnd"/>
      <w:r w:rsidRPr="00D834DB">
        <w:rPr>
          <w:rFonts w:eastAsia="Times New Roman"/>
        </w:rPr>
        <w:t xml:space="preserve">. 1357, 1365, 71 L.Ed.2d 558, 570 (1982). The chief such limitation is that full faith and credit </w:t>
      </w:r>
      <w:proofErr w:type="gramStart"/>
      <w:r w:rsidRPr="00D834DB">
        <w:rPr>
          <w:rFonts w:eastAsia="Times New Roman"/>
        </w:rPr>
        <w:t>will not be given</w:t>
      </w:r>
      <w:proofErr w:type="gramEnd"/>
      <w:r w:rsidRPr="00D834DB">
        <w:rPr>
          <w:rFonts w:eastAsia="Times New Roman"/>
        </w:rPr>
        <w:t xml:space="preserve"> a judgment if the rendering court did not have jurisdiction over the parties and the subject matter. Id. </w:t>
      </w:r>
      <w:proofErr w:type="gramStart"/>
      <w:r w:rsidRPr="00D834DB">
        <w:rPr>
          <w:rFonts w:eastAsia="Times New Roman"/>
        </w:rPr>
        <w:t>Thus</w:t>
      </w:r>
      <w:proofErr w:type="gramEnd"/>
      <w:r w:rsidRPr="00D834DB">
        <w:rPr>
          <w:rFonts w:eastAsia="Times New Roman"/>
        </w:rPr>
        <w:t xml:space="preserve"> the requirement of full faith and credit does not initially attach if the judgment suffers jurisdictional defects that render it void. </w:t>
      </w:r>
      <w:r w:rsidRPr="00D834DB">
        <w:rPr>
          <w:i/>
          <w:iCs/>
        </w:rPr>
        <w:t>A judgment is not always open for collateral attack on the grounds of lack of jurisdiction, however.</w:t>
      </w:r>
      <w:r w:rsidRPr="00D834DB">
        <w:rPr>
          <w:rFonts w:eastAsia="Times New Roman"/>
        </w:rPr>
        <w:t xml:space="preserve"> Federal principles of res judicata and collateral estoppel apply even to jurisdictional issues. Id. at ___, 102 </w:t>
      </w:r>
      <w:proofErr w:type="spellStart"/>
      <w:r w:rsidRPr="00D834DB">
        <w:rPr>
          <w:rFonts w:eastAsia="Times New Roman"/>
        </w:rPr>
        <w:t>S.Ct</w:t>
      </w:r>
      <w:proofErr w:type="spellEnd"/>
      <w:r w:rsidRPr="00D834DB">
        <w:rPr>
          <w:rFonts w:eastAsia="Times New Roman"/>
        </w:rPr>
        <w:t>. at 1366; see note 27 infra.</w:t>
      </w:r>
    </w:p>
    <w:p w:rsidR="00D834DB" w:rsidRDefault="00D834DB">
      <w:pPr>
        <w:rPr>
          <w:b/>
        </w:rPr>
      </w:pPr>
    </w:p>
    <w:p w:rsidR="00D834DB" w:rsidRDefault="00D834DB">
      <w:pPr>
        <w:rPr>
          <w:b/>
        </w:rPr>
      </w:pPr>
    </w:p>
    <w:p w:rsidR="00D834DB" w:rsidRDefault="00D834DB">
      <w:pPr>
        <w:rPr>
          <w:b/>
        </w:rPr>
      </w:pPr>
    </w:p>
    <w:p w:rsidR="00D834DB" w:rsidRPr="00D834DB" w:rsidRDefault="00D834DB" w:rsidP="00D834DB">
      <w:r w:rsidRPr="00D834DB">
        <w:t xml:space="preserve">“Errors other than lack of jurisdiction render the judgment merely voidable and must be attacked within the prescribed time limits.")” </w:t>
      </w:r>
      <w:r w:rsidRPr="00D834DB">
        <w:rPr>
          <w:i/>
          <w:iCs/>
        </w:rPr>
        <w:t>In re Interest of D.C.</w:t>
      </w:r>
      <w:r w:rsidRPr="00D834DB">
        <w:t>, No. 13-15-00486-CV, at *10 (Tex. App. July 21, 2016)</w:t>
      </w: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4954E3">
      <w:pPr>
        <w:rPr>
          <w:b/>
        </w:rPr>
      </w:pPr>
      <w:proofErr w:type="gramStart"/>
      <w:r w:rsidRPr="00E0286C">
        <w:rPr>
          <w:rStyle w:val="NumparaChar"/>
        </w:rPr>
        <w:t>the</w:t>
      </w:r>
      <w:proofErr w:type="gramEnd"/>
      <w:r w:rsidRPr="00E0286C">
        <w:rPr>
          <w:rStyle w:val="NumparaChar"/>
        </w:rPr>
        <w:t xml:space="preserve"> Rooker-Feldman Doctrine</w:t>
      </w:r>
      <w:r>
        <w:rPr>
          <w:rStyle w:val="NumparaChar"/>
        </w:rPr>
        <w:t>; the Probate Exception;</w:t>
      </w:r>
    </w:p>
    <w:p w:rsidR="00D834DB" w:rsidRDefault="00D834DB">
      <w:pPr>
        <w:rPr>
          <w:b/>
        </w:rPr>
      </w:pPr>
    </w:p>
    <w:p w:rsidR="004954E3" w:rsidRDefault="004954E3" w:rsidP="004954E3">
      <w:pPr>
        <w:pStyle w:val="Numpara"/>
        <w:numPr>
          <w:ilvl w:val="0"/>
          <w:numId w:val="0"/>
        </w:numPr>
        <w:rPr>
          <w:rStyle w:val="NumparaChar"/>
        </w:rPr>
      </w:pPr>
      <w:r>
        <w:rPr>
          <w:rStyle w:val="NumparaChar"/>
        </w:rPr>
        <w:t xml:space="preserve">because the </w:t>
      </w:r>
      <w:r w:rsidRPr="001F4113">
        <w:rPr>
          <w:rStyle w:val="NumparaChar"/>
        </w:rPr>
        <w:t>issue</w:t>
      </w:r>
      <w:r>
        <w:rPr>
          <w:rStyle w:val="NumparaChar"/>
        </w:rPr>
        <w:t>s</w:t>
      </w:r>
      <w:r w:rsidRPr="001F4113">
        <w:rPr>
          <w:rStyle w:val="NumparaChar"/>
        </w:rPr>
        <w:t xml:space="preserve"> </w:t>
      </w:r>
      <w:r>
        <w:rPr>
          <w:rStyle w:val="NumparaChar"/>
        </w:rPr>
        <w:t>involve</w:t>
      </w:r>
      <w:r w:rsidRPr="001F4113">
        <w:rPr>
          <w:rStyle w:val="NumparaChar"/>
        </w:rPr>
        <w:t xml:space="preserve"> due process</w:t>
      </w:r>
      <w:r>
        <w:rPr>
          <w:rStyle w:val="NumparaChar"/>
        </w:rPr>
        <w:t xml:space="preserve">; </w:t>
      </w:r>
      <w:r w:rsidRPr="001F4113">
        <w:rPr>
          <w:rStyle w:val="NumparaChar"/>
        </w:rPr>
        <w:t>corruption of blood</w:t>
      </w:r>
      <w:r>
        <w:rPr>
          <w:rStyle w:val="NumparaChar"/>
        </w:rPr>
        <w:t xml:space="preserve">; res judicata; full faith and credit; comity; perjury </w:t>
      </w:r>
      <w:r w:rsidRPr="001F4113">
        <w:rPr>
          <w:rStyle w:val="NumparaChar"/>
        </w:rPr>
        <w:t>and contempt for a pending injunction issued in the Southern District of Texas.</w:t>
      </w:r>
      <w:r>
        <w:rPr>
          <w:rStyle w:val="NumparaChar"/>
        </w:rPr>
        <w:t xml:space="preserve"> </w:t>
      </w:r>
    </w:p>
    <w:p w:rsidR="00D834DB" w:rsidRDefault="00D834DB">
      <w:pPr>
        <w:rPr>
          <w:b/>
        </w:rPr>
      </w:pPr>
    </w:p>
    <w:p w:rsidR="00E63F2C" w:rsidRDefault="00E63F2C" w:rsidP="00E63F2C">
      <w:pPr>
        <w:pStyle w:val="Numpara"/>
        <w:rPr>
          <w:rStyle w:val="NumparaChar"/>
        </w:rPr>
      </w:pPr>
      <w:r>
        <w:rPr>
          <w:rStyle w:val="NumparaChar"/>
        </w:rPr>
        <w:lastRenderedPageBreak/>
        <w:t xml:space="preserve">The first lawsuit was filed in the </w:t>
      </w:r>
      <w:r w:rsidRPr="000314B0">
        <w:rPr>
          <w:rStyle w:val="NumparaChar"/>
          <w:u w:val="single"/>
        </w:rPr>
        <w:t>Southern District of Texas</w:t>
      </w:r>
      <w:r>
        <w:rPr>
          <w:rStyle w:val="NumparaChar"/>
        </w:rPr>
        <w:t xml:space="preserve">, was dismissed under the probate </w:t>
      </w:r>
      <w:proofErr w:type="gramStart"/>
      <w:r>
        <w:rPr>
          <w:rStyle w:val="NumparaChar"/>
        </w:rPr>
        <w:t>exception</w:t>
      </w:r>
      <w:proofErr w:type="gramEnd"/>
      <w:r>
        <w:rPr>
          <w:rStyle w:val="NumparaChar"/>
        </w:rPr>
        <w:t xml:space="preserve"> and went to the </w:t>
      </w:r>
      <w:r w:rsidRPr="000314B0">
        <w:rPr>
          <w:rStyle w:val="NumparaChar"/>
          <w:u w:val="single"/>
        </w:rPr>
        <w:t>5</w:t>
      </w:r>
      <w:r w:rsidRPr="000314B0">
        <w:rPr>
          <w:rStyle w:val="NumparaChar"/>
          <w:u w:val="single"/>
          <w:vertAlign w:val="superscript"/>
        </w:rPr>
        <w:t>th</w:t>
      </w:r>
      <w:r w:rsidRPr="000314B0">
        <w:rPr>
          <w:rStyle w:val="NumparaChar"/>
          <w:u w:val="single"/>
        </w:rPr>
        <w:t xml:space="preserve"> circuit</w:t>
      </w:r>
      <w:r>
        <w:rPr>
          <w:rStyle w:val="NumparaChar"/>
        </w:rPr>
        <w:t xml:space="preserve">. </w:t>
      </w:r>
    </w:p>
    <w:p w:rsidR="00E63F2C" w:rsidRDefault="00E63F2C" w:rsidP="00E63F2C">
      <w:pPr>
        <w:pStyle w:val="Numpara"/>
        <w:rPr>
          <w:rStyle w:val="NumparaChar"/>
        </w:rPr>
      </w:pPr>
      <w:r>
        <w:rPr>
          <w:rStyle w:val="NumparaChar"/>
        </w:rPr>
        <w:t xml:space="preserve">Parallel state court litigation, </w:t>
      </w:r>
      <w:r w:rsidRPr="000314B0">
        <w:rPr>
          <w:rStyle w:val="NumparaChar"/>
          <w:u w:val="single"/>
        </w:rPr>
        <w:t xml:space="preserve">Harris County </w:t>
      </w:r>
      <w:r>
        <w:rPr>
          <w:rStyle w:val="NumparaChar"/>
          <w:u w:val="single"/>
        </w:rPr>
        <w:t>P</w:t>
      </w:r>
      <w:r w:rsidRPr="000314B0">
        <w:rPr>
          <w:rStyle w:val="NumparaChar"/>
          <w:u w:val="single"/>
        </w:rPr>
        <w:t>robate Court No. 4</w:t>
      </w:r>
      <w:r>
        <w:rPr>
          <w:rStyle w:val="NumparaChar"/>
        </w:rPr>
        <w:t xml:space="preserve"> </w:t>
      </w:r>
      <w:proofErr w:type="gramStart"/>
      <w:r>
        <w:rPr>
          <w:rStyle w:val="NumparaChar"/>
        </w:rPr>
        <w:t>filing</w:t>
      </w:r>
      <w:proofErr w:type="gramEnd"/>
      <w:r>
        <w:rPr>
          <w:rStyle w:val="NumparaChar"/>
        </w:rPr>
        <w:t xml:space="preserve"> and admission of wills, letters testamentary for independent administration to Brother Carl Brunsting. </w:t>
      </w:r>
    </w:p>
    <w:p w:rsidR="00E63F2C" w:rsidRDefault="00E63F2C" w:rsidP="00E63F2C">
      <w:pPr>
        <w:pStyle w:val="Numpara"/>
        <w:numPr>
          <w:ilvl w:val="1"/>
          <w:numId w:val="39"/>
        </w:numPr>
        <w:rPr>
          <w:rStyle w:val="NumparaChar"/>
        </w:rPr>
      </w:pPr>
      <w:r>
        <w:rPr>
          <w:rStyle w:val="NumparaChar"/>
        </w:rPr>
        <w:t xml:space="preserve">Independent Administrator files petition to take depositions before suit in </w:t>
      </w:r>
      <w:r w:rsidRPr="000314B0">
        <w:rPr>
          <w:rStyle w:val="NumparaChar"/>
          <w:u w:val="single"/>
        </w:rPr>
        <w:t>Harris County 180</w:t>
      </w:r>
      <w:r w:rsidRPr="000314B0">
        <w:rPr>
          <w:rStyle w:val="NumparaChar"/>
          <w:u w:val="single"/>
          <w:vertAlign w:val="superscript"/>
        </w:rPr>
        <w:t>th</w:t>
      </w:r>
      <w:r w:rsidRPr="000314B0">
        <w:rPr>
          <w:rStyle w:val="NumparaChar"/>
          <w:u w:val="single"/>
        </w:rPr>
        <w:t xml:space="preserve"> Judicial District Court</w:t>
      </w:r>
      <w:r>
        <w:rPr>
          <w:rStyle w:val="NumparaChar"/>
        </w:rPr>
        <w:t xml:space="preserve">. </w:t>
      </w:r>
    </w:p>
    <w:p w:rsidR="00E63F2C" w:rsidRDefault="00E63F2C" w:rsidP="00E63F2C">
      <w:pPr>
        <w:pStyle w:val="Numpara"/>
        <w:rPr>
          <w:rStyle w:val="NumparaChar"/>
        </w:rPr>
      </w:pPr>
      <w:r>
        <w:rPr>
          <w:rStyle w:val="NumparaChar"/>
        </w:rPr>
        <w:t>Fifth Circuit reversed and remanded the Southern District of Texas for further proceedings.</w:t>
      </w:r>
    </w:p>
    <w:p w:rsidR="00E63F2C" w:rsidRDefault="00E63F2C" w:rsidP="00E63F2C">
      <w:pPr>
        <w:pStyle w:val="Numpara"/>
        <w:rPr>
          <w:rStyle w:val="NumparaChar"/>
        </w:rPr>
      </w:pPr>
      <w:proofErr w:type="gramStart"/>
      <w:r>
        <w:rPr>
          <w:rStyle w:val="NumparaChar"/>
        </w:rPr>
        <w:t xml:space="preserve">Parallel state court litigation involving claims against the estate planning attorneys in </w:t>
      </w:r>
      <w:r w:rsidRPr="000314B0">
        <w:rPr>
          <w:rStyle w:val="NumparaChar"/>
          <w:u w:val="single"/>
        </w:rPr>
        <w:t>Harris County 164</w:t>
      </w:r>
      <w:r w:rsidRPr="000314B0">
        <w:rPr>
          <w:rStyle w:val="NumparaChar"/>
          <w:u w:val="single"/>
          <w:vertAlign w:val="superscript"/>
        </w:rPr>
        <w:t>th</w:t>
      </w:r>
      <w:r w:rsidRPr="000314B0">
        <w:rPr>
          <w:rStyle w:val="NumparaChar"/>
          <w:u w:val="single"/>
        </w:rPr>
        <w:t xml:space="preserve"> Judicial District Court</w:t>
      </w:r>
      <w:r>
        <w:rPr>
          <w:rStyle w:val="NumparaChar"/>
        </w:rPr>
        <w:t>.</w:t>
      </w:r>
      <w:proofErr w:type="gramEnd"/>
    </w:p>
    <w:p w:rsidR="00E63F2C" w:rsidRDefault="00E63F2C" w:rsidP="00E63F2C">
      <w:pPr>
        <w:pStyle w:val="Numpara"/>
        <w:rPr>
          <w:rStyle w:val="NumparaChar"/>
        </w:rPr>
      </w:pPr>
      <w:r>
        <w:rPr>
          <w:rStyle w:val="NumparaChar"/>
        </w:rPr>
        <w:t>Federal Injunction issued SDTX</w:t>
      </w:r>
    </w:p>
    <w:p w:rsidR="00E63F2C" w:rsidRDefault="00E63F2C" w:rsidP="00E63F2C">
      <w:pPr>
        <w:pStyle w:val="Numpara"/>
        <w:numPr>
          <w:ilvl w:val="1"/>
          <w:numId w:val="39"/>
        </w:numPr>
        <w:rPr>
          <w:rStyle w:val="NumparaChar"/>
        </w:rPr>
      </w:pPr>
      <w:r>
        <w:rPr>
          <w:rStyle w:val="NumparaChar"/>
        </w:rPr>
        <w:t xml:space="preserve">Special Master appointed to establish a trust accounting  </w:t>
      </w:r>
    </w:p>
    <w:p w:rsidR="00E63F2C" w:rsidRDefault="00E63F2C" w:rsidP="00E63F2C">
      <w:pPr>
        <w:pStyle w:val="Numpara"/>
        <w:numPr>
          <w:ilvl w:val="1"/>
          <w:numId w:val="39"/>
        </w:numPr>
        <w:rPr>
          <w:rStyle w:val="NumparaChar"/>
        </w:rPr>
      </w:pPr>
      <w:r>
        <w:rPr>
          <w:rStyle w:val="NumparaChar"/>
        </w:rPr>
        <w:t>Hearing had on Report of Special Master</w:t>
      </w:r>
    </w:p>
    <w:p w:rsidR="00D834DB" w:rsidRDefault="00D834DB">
      <w:pPr>
        <w:rPr>
          <w:b/>
        </w:rPr>
      </w:pPr>
    </w:p>
    <w:p w:rsidR="00D834DB" w:rsidRDefault="00D834DB">
      <w:pPr>
        <w:rPr>
          <w:b/>
        </w:rPr>
      </w:pPr>
      <w:bookmarkStart w:id="0" w:name="_GoBack"/>
      <w:bookmarkEnd w:id="0"/>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p>
    <w:p w:rsidR="00D834DB" w:rsidRDefault="00D834DB">
      <w:pPr>
        <w:rPr>
          <w:b/>
        </w:rPr>
      </w:pPr>
      <w:r>
        <w:br w:type="page"/>
      </w:r>
    </w:p>
    <w:p w:rsidR="00EE04FD" w:rsidRDefault="00110A51" w:rsidP="009E14AD">
      <w:pPr>
        <w:pStyle w:val="Heading2"/>
      </w:pPr>
      <w:r>
        <w:lastRenderedPageBreak/>
        <w:t>MENDEL</w:t>
      </w:r>
    </w:p>
    <w:p w:rsidR="00EE04FD" w:rsidRDefault="00110A51">
      <w:pPr>
        <w:rPr>
          <w:i/>
          <w:iCs/>
        </w:rPr>
      </w:pPr>
      <w:r>
        <w:rPr>
          <w:rStyle w:val="serif"/>
        </w:rPr>
        <w:t>Tafoya v. Green Tree Servicing LLC, No. 03-14-00391-CV (Tex. App. Dec. 30, 2014)</w:t>
      </w:r>
      <w:r>
        <w:rPr>
          <w:rStyle w:val="serif"/>
        </w:rPr>
        <w:t xml:space="preserve"> </w:t>
      </w:r>
      <w:r>
        <w:t xml:space="preserve">“Tafoya challenges the summary judgment on the grounds that it is (1) void for failure to comply with the applicable rules of procedure and (2) not supported by sufficient evidence. ” </w:t>
      </w:r>
    </w:p>
    <w:p w:rsidR="00110A51" w:rsidRDefault="00110A51">
      <w:pPr>
        <w:rPr>
          <w:i/>
          <w:iCs/>
        </w:rPr>
      </w:pPr>
    </w:p>
    <w:p w:rsidR="009E14AD" w:rsidRPr="009E14AD" w:rsidRDefault="00110A51" w:rsidP="00DD7B9E">
      <w:pPr>
        <w:pStyle w:val="NoSpacing"/>
      </w:pPr>
      <w:r w:rsidRPr="009E14AD">
        <w:rPr>
          <w:rStyle w:val="serif"/>
        </w:rPr>
        <w:t xml:space="preserve">Browning v. </w:t>
      </w:r>
      <w:proofErr w:type="spellStart"/>
      <w:r w:rsidRPr="009E14AD">
        <w:rPr>
          <w:rStyle w:val="serif"/>
        </w:rPr>
        <w:t>Prostok</w:t>
      </w:r>
      <w:proofErr w:type="spellEnd"/>
      <w:r w:rsidRPr="009E14AD">
        <w:rPr>
          <w:rStyle w:val="serif"/>
        </w:rPr>
        <w:t>, 165 S.W.3d 336 (Tex. 2005)</w:t>
      </w:r>
      <w:r w:rsidRPr="009E14AD">
        <w:rPr>
          <w:rStyle w:val="serif"/>
        </w:rPr>
        <w:t xml:space="preserve"> </w:t>
      </w:r>
      <w:r w:rsidR="009E14AD" w:rsidRPr="009E14AD">
        <w:rPr>
          <w:rFonts w:eastAsia="Times New Roman"/>
        </w:rPr>
        <w:t xml:space="preserve">Over two years after the bankruptcy court entered its order confirming the reorganization plan proposed by the debtor, a class of bondholders brought this suit. The class of bondholders alleges that the officers and directors breached their fiduciary duties by intentionally undervaluing the debtor during the bankruptcy proceedings. The trial court granted summary judgment against the class and entered a take-nothing judgment. We consider whether the class claims, based on conduct occurring during bankruptcy proceedings, can be maintained in state court years after the bankruptcy court's final order confirming the debtor's reorganization plan. We conclude that the claims cannot. </w:t>
      </w:r>
      <w:r w:rsidR="009E14AD" w:rsidRPr="009E14AD">
        <w:rPr>
          <w:i/>
          <w:iCs/>
        </w:rPr>
        <w:t xml:space="preserve">Browning v. </w:t>
      </w:r>
      <w:proofErr w:type="spellStart"/>
      <w:r w:rsidR="009E14AD" w:rsidRPr="009E14AD">
        <w:rPr>
          <w:i/>
          <w:iCs/>
        </w:rPr>
        <w:t>Prostok</w:t>
      </w:r>
      <w:proofErr w:type="spellEnd"/>
      <w:r w:rsidR="009E14AD" w:rsidRPr="009E14AD">
        <w:t>, 165 S.W.3d 336, 338 (Tex. 2005)</w:t>
      </w:r>
    </w:p>
    <w:p w:rsidR="00110A51" w:rsidRDefault="00110A51"/>
    <w:p w:rsidR="009E14AD" w:rsidRDefault="009E14AD" w:rsidP="009E14AD">
      <w:pPr>
        <w:pStyle w:val="Default"/>
        <w:rPr>
          <w:sz w:val="28"/>
          <w:szCs w:val="28"/>
        </w:rPr>
      </w:pPr>
      <w:proofErr w:type="spellStart"/>
      <w:r>
        <w:rPr>
          <w:i/>
          <w:iCs/>
          <w:sz w:val="28"/>
          <w:szCs w:val="28"/>
        </w:rPr>
        <w:t>Cadle</w:t>
      </w:r>
      <w:proofErr w:type="spellEnd"/>
      <w:r>
        <w:rPr>
          <w:i/>
          <w:iCs/>
          <w:sz w:val="28"/>
          <w:szCs w:val="28"/>
        </w:rPr>
        <w:t xml:space="preserve"> Co. v. </w:t>
      </w:r>
      <w:proofErr w:type="spellStart"/>
      <w:r>
        <w:rPr>
          <w:i/>
          <w:iCs/>
          <w:sz w:val="28"/>
          <w:szCs w:val="28"/>
        </w:rPr>
        <w:t>Lobingier</w:t>
      </w:r>
      <w:proofErr w:type="spellEnd"/>
      <w:r>
        <w:rPr>
          <w:sz w:val="28"/>
          <w:szCs w:val="28"/>
        </w:rPr>
        <w:t xml:space="preserve">, 50 S.W.3d 662 (Tex. App.—Fort Worth 2001, </w:t>
      </w:r>
    </w:p>
    <w:p w:rsidR="00B03E24" w:rsidRDefault="009E14AD" w:rsidP="00B03E24">
      <w:proofErr w:type="gramStart"/>
      <w:r>
        <w:rPr>
          <w:sz w:val="28"/>
          <w:szCs w:val="28"/>
        </w:rPr>
        <w:t>pet</w:t>
      </w:r>
      <w:proofErr w:type="gramEnd"/>
      <w:r>
        <w:rPr>
          <w:sz w:val="28"/>
          <w:szCs w:val="28"/>
        </w:rPr>
        <w:t xml:space="preserve">. </w:t>
      </w:r>
      <w:proofErr w:type="gramStart"/>
      <w:r>
        <w:rPr>
          <w:sz w:val="28"/>
          <w:szCs w:val="28"/>
        </w:rPr>
        <w:t>denied</w:t>
      </w:r>
      <w:proofErr w:type="gramEnd"/>
      <w:r>
        <w:rPr>
          <w:sz w:val="28"/>
          <w:szCs w:val="28"/>
        </w:rPr>
        <w:t>)</w:t>
      </w:r>
      <w:r w:rsidR="00B03E24" w:rsidRPr="00B03E24">
        <w:t xml:space="preserve"> </w:t>
      </w:r>
      <w:r w:rsidR="00B03E24">
        <w:t xml:space="preserve">“In several of their points, the </w:t>
      </w:r>
      <w:proofErr w:type="spellStart"/>
      <w:r w:rsidR="00B03E24">
        <w:t>Cadles</w:t>
      </w:r>
      <w:proofErr w:type="spellEnd"/>
      <w:r w:rsidR="00B03E24">
        <w:t xml:space="preserve"> collaterally attack our 1996 contempt judgment, asserting it is void. Where, as here, the contemnor is not restrained, mandamus is the proper vehicle for collaterally attacking a contempt judgment. </w:t>
      </w:r>
      <w:r w:rsidR="00B03E24">
        <w:rPr>
          <w:i/>
          <w:iCs/>
        </w:rPr>
        <w:t>In re Long,</w:t>
      </w:r>
      <w:r w:rsidR="00B03E24">
        <w:t xml:space="preserve"> </w:t>
      </w:r>
      <w:hyperlink r:id="rId13" w:anchor="p625" w:history="1">
        <w:r w:rsidR="00B03E24">
          <w:rPr>
            <w:rStyle w:val="Hyperlink"/>
          </w:rPr>
          <w:t>984 S.W.2d 623, 625</w:t>
        </w:r>
      </w:hyperlink>
      <w:r w:rsidR="00B03E24">
        <w:t xml:space="preserve"> (Tex. 1999) (orig. proceeding). ” </w:t>
      </w:r>
      <w:proofErr w:type="spellStart"/>
      <w:r w:rsidR="00B03E24">
        <w:rPr>
          <w:i/>
          <w:iCs/>
        </w:rPr>
        <w:t>Cadle</w:t>
      </w:r>
      <w:proofErr w:type="spellEnd"/>
      <w:r w:rsidR="00B03E24">
        <w:rPr>
          <w:i/>
          <w:iCs/>
        </w:rPr>
        <w:t xml:space="preserve"> Co. v. </w:t>
      </w:r>
      <w:proofErr w:type="spellStart"/>
      <w:r w:rsidR="00B03E24">
        <w:rPr>
          <w:i/>
          <w:iCs/>
        </w:rPr>
        <w:t>Lobingier</w:t>
      </w:r>
      <w:proofErr w:type="spellEnd"/>
      <w:r w:rsidR="00B03E24">
        <w:t>, 50 S.W.3d 662, 666 (Tex. App. 2001)</w:t>
      </w:r>
    </w:p>
    <w:p w:rsidR="009E14AD" w:rsidRDefault="009E14AD" w:rsidP="009E14AD">
      <w:pPr>
        <w:rPr>
          <w:sz w:val="28"/>
          <w:szCs w:val="28"/>
        </w:rPr>
      </w:pPr>
      <w:r>
        <w:rPr>
          <w:sz w:val="28"/>
          <w:szCs w:val="28"/>
        </w:rPr>
        <w:t xml:space="preserve"> </w:t>
      </w:r>
    </w:p>
    <w:p w:rsidR="00B03E24" w:rsidRDefault="00B03E24" w:rsidP="00B03E24">
      <w:pPr>
        <w:spacing w:before="100" w:beforeAutospacing="1" w:after="100" w:afterAutospacing="1"/>
        <w:rPr>
          <w:sz w:val="28"/>
          <w:szCs w:val="28"/>
        </w:rPr>
      </w:pPr>
      <w:r>
        <w:rPr>
          <w:i/>
          <w:iCs/>
          <w:sz w:val="28"/>
          <w:szCs w:val="28"/>
        </w:rPr>
        <w:t>Curtis v. Brunsting</w:t>
      </w:r>
      <w:r>
        <w:rPr>
          <w:sz w:val="28"/>
          <w:szCs w:val="28"/>
        </w:rPr>
        <w:t xml:space="preserve">, 860 Fed. </w:t>
      </w:r>
      <w:proofErr w:type="spellStart"/>
      <w:r>
        <w:rPr>
          <w:sz w:val="28"/>
          <w:szCs w:val="28"/>
        </w:rPr>
        <w:t>App’x</w:t>
      </w:r>
      <w:proofErr w:type="spellEnd"/>
      <w:r>
        <w:rPr>
          <w:sz w:val="28"/>
          <w:szCs w:val="28"/>
        </w:rPr>
        <w:t xml:space="preserve"> 332 (5th Cir. 2021) (Per </w:t>
      </w:r>
      <w:proofErr w:type="spellStart"/>
      <w:r>
        <w:rPr>
          <w:sz w:val="28"/>
          <w:szCs w:val="28"/>
        </w:rPr>
        <w:t>Curiam</w:t>
      </w:r>
      <w:proofErr w:type="spellEnd"/>
      <w:r>
        <w:rPr>
          <w:sz w:val="28"/>
          <w:szCs w:val="28"/>
        </w:rPr>
        <w:t>)</w:t>
      </w:r>
    </w:p>
    <w:p w:rsidR="00B03E24" w:rsidRPr="00B03E24" w:rsidRDefault="00B03E24" w:rsidP="00B03E24">
      <w:pPr>
        <w:spacing w:before="100" w:beforeAutospacing="1" w:after="100" w:afterAutospacing="1"/>
      </w:pPr>
      <w:r w:rsidRPr="00B03E24">
        <w:t xml:space="preserve">On May 15, 2014, the district court granted leave to file the amended complaint. It also granted the purported motion to remand, reasoning that the lack of complete diversity and the need to avoid inconsistent judgments in related lawsuits warranted remand and consolidation. The Harris County Probate Court accepted the "remand," and later consolidated the lawsuits, </w:t>
      </w:r>
      <w:r w:rsidRPr="00B03E24">
        <w:rPr>
          <w:i/>
          <w:iCs/>
        </w:rPr>
        <w:t>Curtis v. Brunsting</w:t>
      </w:r>
      <w:r w:rsidRPr="00B03E24">
        <w:t>, No. 20-20566, at *2 (5th Cir. June 21, 2021)</w:t>
      </w:r>
    </w:p>
    <w:p w:rsidR="00B03E24" w:rsidRPr="00B03E24" w:rsidRDefault="00B03E24" w:rsidP="00B03E24">
      <w:pPr>
        <w:spacing w:before="100" w:beforeAutospacing="1" w:after="100" w:afterAutospacing="1"/>
      </w:pPr>
      <w:r w:rsidRPr="00B03E24">
        <w:t xml:space="preserve">About two years later and after discharging her counsel, Curtis began a </w:t>
      </w:r>
      <w:r w:rsidRPr="00B03E24">
        <w:rPr>
          <w:i/>
          <w:iCs/>
        </w:rPr>
        <w:t>pro se</w:t>
      </w:r>
      <w:r w:rsidRPr="00B03E24">
        <w:t xml:space="preserve"> effort to obtain relief from the orders and reinstate her federal case. On August 3, 2016, she filed a motion for relief based on </w:t>
      </w:r>
      <w:hyperlink r:id="rId14" w:history="1">
        <w:r w:rsidRPr="00B03E24">
          <w:rPr>
            <w:color w:val="0000FF"/>
            <w:u w:val="single"/>
          </w:rPr>
          <w:t>Federal Rule of Civil Procedure 60(b)(3)</w:t>
        </w:r>
      </w:hyperlink>
      <w:r w:rsidRPr="00B03E24">
        <w:t xml:space="preserve">, </w:t>
      </w:r>
      <w:hyperlink r:id="rId15" w:history="1">
        <w:r w:rsidRPr="00B03E24">
          <w:rPr>
            <w:color w:val="0000FF"/>
            <w:u w:val="single"/>
          </w:rPr>
          <w:t>60(b)(6)</w:t>
        </w:r>
      </w:hyperlink>
      <w:r w:rsidRPr="00B03E24">
        <w:t xml:space="preserve">, and </w:t>
      </w:r>
      <w:hyperlink r:id="rId16" w:history="1">
        <w:r w:rsidRPr="00B03E24">
          <w:rPr>
            <w:color w:val="0000FF"/>
            <w:u w:val="single"/>
          </w:rPr>
          <w:t>60(d)(3)</w:t>
        </w:r>
      </w:hyperlink>
      <w:r w:rsidRPr="00B03E24">
        <w:t xml:space="preserve">. She argued that the defendants perpetrated a fraud on the court by agreeing to the remand and then refusing to honor the federal injunction and other orders of the federal district court. She also accused her former counsel of seeking remand "to obstruct justice in pursuit of attorney fees." In essence, she asked the district court to reinstate the federal case. The court took no action on the motion. </w:t>
      </w:r>
    </w:p>
    <w:p w:rsidR="00B03E24" w:rsidRDefault="00B03E24" w:rsidP="00B03E24">
      <w:pPr>
        <w:spacing w:before="100" w:beforeAutospacing="1" w:after="100" w:afterAutospacing="1"/>
      </w:pPr>
      <w:r w:rsidRPr="00B03E24">
        <w:t>More than two years later, in March 2019, Curtis sought to have the defendants and their counsel held in contempt for violating the federal injunction. The district court held a telephonic hearing and entered an order denying Curtis's show-cause motion. The district court explained that it was "of the opinion that, having transferred the case to Harris Cou</w:t>
      </w:r>
      <w:r w:rsidR="00DD7F7D">
        <w:t xml:space="preserve">nty Probate Court, it no longer </w:t>
      </w:r>
      <w:r w:rsidRPr="00B03E24">
        <w:t xml:space="preserve">ha[d] jurisdiction of the case." Curtis did not appeal from that order. </w:t>
      </w:r>
      <w:r w:rsidRPr="00B03E24">
        <w:rPr>
          <w:i/>
          <w:iCs/>
        </w:rPr>
        <w:t>Curtis v. Brunsting</w:t>
      </w:r>
      <w:r w:rsidRPr="00B03E24">
        <w:t>, No. 20-20566, at *2 (5th Cir. June 21, 2021)</w:t>
      </w:r>
    </w:p>
    <w:p w:rsidR="00EC33E5" w:rsidRPr="00D336B6" w:rsidRDefault="00EC33E5" w:rsidP="00EC33E5">
      <w:pPr>
        <w:pStyle w:val="Numpara"/>
        <w:rPr>
          <w:rStyle w:val="NumparaChar"/>
        </w:rPr>
      </w:pPr>
      <w:r w:rsidRPr="00D336B6">
        <w:rPr>
          <w:rStyle w:val="NumparaChar"/>
        </w:rPr>
        <w:lastRenderedPageBreak/>
        <w:t>This action involves administration of a trust for which Plaintiff is a beneficiary and for which Defendant</w:t>
      </w:r>
      <w:r>
        <w:rPr>
          <w:rStyle w:val="NumparaChar"/>
        </w:rPr>
        <w:t>’s</w:t>
      </w:r>
      <w:r w:rsidRPr="00D336B6">
        <w:rPr>
          <w:rStyle w:val="NumparaChar"/>
        </w:rPr>
        <w:t xml:space="preserve"> claims to be </w:t>
      </w:r>
      <w:r>
        <w:rPr>
          <w:rStyle w:val="NumparaChar"/>
        </w:rPr>
        <w:t>Co-</w:t>
      </w:r>
      <w:r w:rsidRPr="00D336B6">
        <w:rPr>
          <w:rStyle w:val="NumparaChar"/>
        </w:rPr>
        <w:t>trustee</w:t>
      </w:r>
      <w:r>
        <w:rPr>
          <w:rStyle w:val="NumparaChar"/>
        </w:rPr>
        <w:t>s</w:t>
      </w:r>
      <w:r w:rsidRPr="00D336B6">
        <w:rPr>
          <w:rStyle w:val="NumparaChar"/>
        </w:rPr>
        <w:t xml:space="preserve">. </w:t>
      </w:r>
    </w:p>
    <w:p w:rsidR="00EC33E5" w:rsidRDefault="00EC33E5" w:rsidP="00EC33E5">
      <w:pPr>
        <w:pStyle w:val="Numpara"/>
        <w:rPr>
          <w:rStyle w:val="NumparaChar"/>
        </w:rPr>
      </w:pPr>
    </w:p>
    <w:p w:rsidR="00EC33E5" w:rsidRPr="00D336B6" w:rsidRDefault="00EC33E5" w:rsidP="00EC33E5">
      <w:pPr>
        <w:pStyle w:val="Numpara"/>
        <w:rPr>
          <w:rStyle w:val="NumparaChar"/>
        </w:rPr>
      </w:pPr>
      <w:r w:rsidRPr="00D336B6">
        <w:t xml:space="preserve"> </w:t>
      </w:r>
      <w:r w:rsidRPr="00D336B6">
        <w:rPr>
          <w:rStyle w:val="NumparaChar"/>
        </w:rPr>
        <w:t xml:space="preserve">This action involves administration of a trust for which Plaintiff is a beneficiary and for which Defendant Anita Brunsting claims to be trustee. </w:t>
      </w:r>
    </w:p>
    <w:p w:rsidR="00EC33E5" w:rsidRDefault="00EC33E5" w:rsidP="00EC33E5">
      <w:pPr>
        <w:pStyle w:val="Numpara"/>
        <w:rPr>
          <w:rStyle w:val="NumparaChar"/>
        </w:rPr>
      </w:pPr>
    </w:p>
    <w:p w:rsidR="00EC33E5" w:rsidRPr="00FC5984" w:rsidRDefault="00EC33E5" w:rsidP="00EC33E5">
      <w:pPr>
        <w:pStyle w:val="Numpara"/>
        <w:rPr>
          <w:rStyle w:val="NumparaChar"/>
        </w:rPr>
      </w:pPr>
      <w:r>
        <w:rPr>
          <w:rStyle w:val="NumparaChar"/>
        </w:rPr>
        <w:t xml:space="preserve"> acts affecting interstate and foreign commerce </w:t>
      </w:r>
    </w:p>
    <w:p w:rsidR="00DD7F7D" w:rsidRDefault="00DD7F7D" w:rsidP="00B03E24">
      <w:pPr>
        <w:spacing w:before="100" w:beforeAutospacing="1" w:after="100" w:afterAutospacing="1"/>
      </w:pPr>
    </w:p>
    <w:p w:rsidR="00D24798" w:rsidRDefault="00D24798" w:rsidP="00B03E24">
      <w:pPr>
        <w:spacing w:before="100" w:beforeAutospacing="1" w:after="100" w:afterAutospacing="1"/>
      </w:pPr>
    </w:p>
    <w:p w:rsidR="00D24798" w:rsidRPr="00B03E24" w:rsidRDefault="00D24798" w:rsidP="00B03E24">
      <w:pPr>
        <w:spacing w:before="100" w:beforeAutospacing="1" w:after="100" w:afterAutospacing="1"/>
      </w:pPr>
    </w:p>
    <w:p w:rsidR="00B03E24" w:rsidRDefault="00B03E24" w:rsidP="009E14AD"/>
    <w:sectPr w:rsidR="00B03E24"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pStyle w:val="Heading1"/>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72A9A"/>
    <w:multiLevelType w:val="hybridMultilevel"/>
    <w:tmpl w:val="CF8A811A"/>
    <w:lvl w:ilvl="0" w:tplc="629C91C4">
      <w:start w:val="1"/>
      <w:numFmt w:val="decimal"/>
      <w:pStyle w:val="Numpar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8"/>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FD"/>
    <w:rsid w:val="00003545"/>
    <w:rsid w:val="0002109F"/>
    <w:rsid w:val="00091071"/>
    <w:rsid w:val="000D0E94"/>
    <w:rsid w:val="000F738F"/>
    <w:rsid w:val="00110A51"/>
    <w:rsid w:val="00124D37"/>
    <w:rsid w:val="001A3F32"/>
    <w:rsid w:val="001D0B0A"/>
    <w:rsid w:val="001D6254"/>
    <w:rsid w:val="00222515"/>
    <w:rsid w:val="00237452"/>
    <w:rsid w:val="0024453E"/>
    <w:rsid w:val="002B0C9B"/>
    <w:rsid w:val="002F6C12"/>
    <w:rsid w:val="00336440"/>
    <w:rsid w:val="00370715"/>
    <w:rsid w:val="003A6462"/>
    <w:rsid w:val="003F4B40"/>
    <w:rsid w:val="00424FE8"/>
    <w:rsid w:val="004954E3"/>
    <w:rsid w:val="005157AC"/>
    <w:rsid w:val="0055091F"/>
    <w:rsid w:val="005B4D26"/>
    <w:rsid w:val="005C53EF"/>
    <w:rsid w:val="005E0485"/>
    <w:rsid w:val="00644CA5"/>
    <w:rsid w:val="00653D93"/>
    <w:rsid w:val="006A479E"/>
    <w:rsid w:val="006B3E57"/>
    <w:rsid w:val="007158F1"/>
    <w:rsid w:val="00721920"/>
    <w:rsid w:val="00727055"/>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9E14AD"/>
    <w:rsid w:val="00A17B47"/>
    <w:rsid w:val="00A237F9"/>
    <w:rsid w:val="00A82FAD"/>
    <w:rsid w:val="00AB0B1E"/>
    <w:rsid w:val="00AC0531"/>
    <w:rsid w:val="00B02C6D"/>
    <w:rsid w:val="00B03E24"/>
    <w:rsid w:val="00B32522"/>
    <w:rsid w:val="00B64FE7"/>
    <w:rsid w:val="00B67DE7"/>
    <w:rsid w:val="00B87F04"/>
    <w:rsid w:val="00C10E52"/>
    <w:rsid w:val="00C33529"/>
    <w:rsid w:val="00C42C11"/>
    <w:rsid w:val="00C67045"/>
    <w:rsid w:val="00CB2AE0"/>
    <w:rsid w:val="00D24798"/>
    <w:rsid w:val="00D46133"/>
    <w:rsid w:val="00D653E0"/>
    <w:rsid w:val="00D834DB"/>
    <w:rsid w:val="00DA3A48"/>
    <w:rsid w:val="00DD7B9E"/>
    <w:rsid w:val="00DD7F7D"/>
    <w:rsid w:val="00DE5A41"/>
    <w:rsid w:val="00E63F2C"/>
    <w:rsid w:val="00E65E37"/>
    <w:rsid w:val="00EC33E5"/>
    <w:rsid w:val="00EE04FD"/>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51"/>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9A3184"/>
    <w:pPr>
      <w:keepNext/>
      <w:keepLines/>
      <w:numPr>
        <w:numId w:val="2"/>
      </w:numPr>
      <w:spacing w:before="240"/>
      <w:ind w:left="72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Spacing"/>
    <w:next w:val="Normal"/>
    <w:link w:val="QuoteChar"/>
    <w:autoRedefine/>
    <w:uiPriority w:val="29"/>
    <w:qFormat/>
    <w:rsid w:val="00653D93"/>
    <w:pPr>
      <w:framePr w:hSpace="180" w:wrap="around" w:vAnchor="text" w:hAnchor="text" w:y="1"/>
      <w:widowControl/>
      <w:autoSpaceDE/>
      <w:autoSpaceDN/>
      <w:adjustRightInd/>
      <w:ind w:left="720" w:right="720"/>
    </w:pPr>
    <w:rPr>
      <w:rFonts w:eastAsiaTheme="minorEastAsia" w:cs="Times New Roman"/>
      <w:bCs w:val="0"/>
      <w:i/>
      <w:iCs/>
      <w:noProof/>
      <w:color w:val="404040" w:themeColor="text1" w:themeTint="BF"/>
      <w:szCs w:val="28"/>
    </w:rPr>
  </w:style>
  <w:style w:type="character" w:customStyle="1" w:styleId="QuoteChar">
    <w:name w:val="Quote Char"/>
    <w:basedOn w:val="DefaultParagraphFont"/>
    <w:link w:val="Quote"/>
    <w:uiPriority w:val="29"/>
    <w:rsid w:val="00653D93"/>
    <w:rPr>
      <w:rFonts w:ascii="Times New Roman" w:eastAsiaTheme="minorEastAsia" w:hAnsi="Times New Roman" w:cs="Times New Roman"/>
      <w:i/>
      <w:iCs/>
      <w:noProof/>
      <w:color w:val="404040" w:themeColor="text1" w:themeTint="BF"/>
      <w:sz w:val="28"/>
      <w:szCs w:val="28"/>
    </w:rPr>
  </w:style>
  <w:style w:type="character" w:customStyle="1" w:styleId="Heading1Char">
    <w:name w:val="Heading 1 Char"/>
    <w:basedOn w:val="DefaultParagraphFont"/>
    <w:link w:val="Heading1"/>
    <w:uiPriority w:val="9"/>
    <w:rsid w:val="009A3184"/>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D7B9E"/>
    <w:pPr>
      <w:widowControl w:val="0"/>
      <w:autoSpaceDE w:val="0"/>
      <w:autoSpaceDN w:val="0"/>
      <w:adjustRightInd w:val="0"/>
      <w:spacing w:before="120" w:after="120"/>
      <w:jc w:val="both"/>
    </w:pPr>
    <w:rPr>
      <w:rFonts w:ascii="Times New Roman" w:eastAsiaTheme="majorEastAsia" w:hAnsi="Times New Roman"/>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uiPriority w:val="99"/>
    <w:qFormat/>
    <w:rsid w:val="00D46133"/>
    <w:pPr>
      <w:ind w:right="720"/>
      <w:contextualSpacing/>
      <w:jc w:val="both"/>
    </w:pPr>
    <w:rPr>
      <w:rFonts w:eastAsiaTheme="minorHAnsi"/>
      <w:noProof/>
    </w:rPr>
  </w:style>
  <w:style w:type="character" w:customStyle="1" w:styleId="FootnoteChar">
    <w:name w:val="Footnote Char"/>
    <w:basedOn w:val="FootnoteTextChar"/>
    <w:link w:val="Footnote"/>
    <w:uiPriority w:val="99"/>
    <w:rsid w:val="00D46133"/>
    <w:rPr>
      <w:rFonts w:ascii="Times New Roman" w:eastAsiaTheme="minorHAnsi" w:hAnsi="Times New Roman"/>
      <w:noProof/>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t-search-result-citation">
    <w:name w:val="ct-search-result-citation"/>
    <w:basedOn w:val="DefaultParagraphFont"/>
    <w:rsid w:val="00EE04FD"/>
  </w:style>
  <w:style w:type="character" w:customStyle="1" w:styleId="ct-search-result-cite-count">
    <w:name w:val="ct-search-result-cite-count"/>
    <w:basedOn w:val="DefaultParagraphFont"/>
    <w:rsid w:val="00EE04FD"/>
  </w:style>
  <w:style w:type="character" w:styleId="Emphasis">
    <w:name w:val="Emphasis"/>
    <w:basedOn w:val="DefaultParagraphFont"/>
    <w:uiPriority w:val="20"/>
    <w:qFormat/>
    <w:rsid w:val="00EE04FD"/>
    <w:rPr>
      <w:i/>
      <w:iCs/>
    </w:rPr>
  </w:style>
  <w:style w:type="paragraph" w:customStyle="1" w:styleId="Default">
    <w:name w:val="Default"/>
    <w:rsid w:val="009E14AD"/>
    <w:pPr>
      <w:autoSpaceDE w:val="0"/>
      <w:autoSpaceDN w:val="0"/>
      <w:adjustRightInd w:val="0"/>
    </w:pPr>
    <w:rPr>
      <w:rFonts w:ascii="Times New Roman" w:hAnsi="Times New Roman" w:cs="Times New Roman"/>
      <w:color w:val="000000"/>
      <w:sz w:val="24"/>
      <w:szCs w:val="24"/>
    </w:rPr>
  </w:style>
  <w:style w:type="paragraph" w:customStyle="1" w:styleId="Numpara">
    <w:name w:val="Num para"/>
    <w:basedOn w:val="Normal"/>
    <w:link w:val="NumparaChar"/>
    <w:qFormat/>
    <w:rsid w:val="00EC33E5"/>
    <w:pPr>
      <w:numPr>
        <w:numId w:val="39"/>
      </w:numPr>
      <w:autoSpaceDE w:val="0"/>
      <w:autoSpaceDN w:val="0"/>
      <w:adjustRightInd w:val="0"/>
      <w:spacing w:line="480" w:lineRule="auto"/>
      <w:ind w:left="0" w:firstLine="0"/>
      <w:jc w:val="both"/>
    </w:pPr>
  </w:style>
  <w:style w:type="character" w:customStyle="1" w:styleId="NumparaChar">
    <w:name w:val="Num para Char"/>
    <w:basedOn w:val="DefaultParagraphFont"/>
    <w:link w:val="Numpara"/>
    <w:rsid w:val="00EC33E5"/>
    <w:rPr>
      <w:rFonts w:ascii="Times New Roman" w:eastAsia="Times New Roman" w:hAnsi="Times New Roman" w:cs="Times New Roman"/>
      <w:sz w:val="24"/>
      <w:szCs w:val="24"/>
    </w:rPr>
  </w:style>
  <w:style w:type="character" w:customStyle="1" w:styleId="summary-prefix-pmt">
    <w:name w:val="summary-prefix-pmt"/>
    <w:basedOn w:val="DefaultParagraphFont"/>
    <w:rsid w:val="00D834DB"/>
  </w:style>
  <w:style w:type="character" w:customStyle="1" w:styleId="muitypography-root">
    <w:name w:val="muitypography-root"/>
    <w:basedOn w:val="DefaultParagraphFont"/>
    <w:rsid w:val="00D834DB"/>
  </w:style>
  <w:style w:type="character" w:customStyle="1" w:styleId="ct-result-summary-snippet">
    <w:name w:val="ct-result-summary-snippet"/>
    <w:basedOn w:val="DefaultParagraphFont"/>
    <w:rsid w:val="00D834DB"/>
  </w:style>
  <w:style w:type="character" w:customStyle="1" w:styleId="css-pkhy8p">
    <w:name w:val="css-pkhy8p"/>
    <w:basedOn w:val="DefaultParagraphFont"/>
    <w:rsid w:val="00D83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51"/>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9A3184"/>
    <w:pPr>
      <w:keepNext/>
      <w:keepLines/>
      <w:numPr>
        <w:numId w:val="2"/>
      </w:numPr>
      <w:spacing w:before="240"/>
      <w:ind w:left="72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Spacing"/>
    <w:next w:val="Normal"/>
    <w:link w:val="QuoteChar"/>
    <w:autoRedefine/>
    <w:uiPriority w:val="29"/>
    <w:qFormat/>
    <w:rsid w:val="00653D93"/>
    <w:pPr>
      <w:framePr w:hSpace="180" w:wrap="around" w:vAnchor="text" w:hAnchor="text" w:y="1"/>
      <w:widowControl/>
      <w:autoSpaceDE/>
      <w:autoSpaceDN/>
      <w:adjustRightInd/>
      <w:ind w:left="720" w:right="720"/>
    </w:pPr>
    <w:rPr>
      <w:rFonts w:eastAsiaTheme="minorEastAsia" w:cs="Times New Roman"/>
      <w:bCs w:val="0"/>
      <w:i/>
      <w:iCs/>
      <w:noProof/>
      <w:color w:val="404040" w:themeColor="text1" w:themeTint="BF"/>
      <w:szCs w:val="28"/>
    </w:rPr>
  </w:style>
  <w:style w:type="character" w:customStyle="1" w:styleId="QuoteChar">
    <w:name w:val="Quote Char"/>
    <w:basedOn w:val="DefaultParagraphFont"/>
    <w:link w:val="Quote"/>
    <w:uiPriority w:val="29"/>
    <w:rsid w:val="00653D93"/>
    <w:rPr>
      <w:rFonts w:ascii="Times New Roman" w:eastAsiaTheme="minorEastAsia" w:hAnsi="Times New Roman" w:cs="Times New Roman"/>
      <w:i/>
      <w:iCs/>
      <w:noProof/>
      <w:color w:val="404040" w:themeColor="text1" w:themeTint="BF"/>
      <w:sz w:val="28"/>
      <w:szCs w:val="28"/>
    </w:rPr>
  </w:style>
  <w:style w:type="character" w:customStyle="1" w:styleId="Heading1Char">
    <w:name w:val="Heading 1 Char"/>
    <w:basedOn w:val="DefaultParagraphFont"/>
    <w:link w:val="Heading1"/>
    <w:uiPriority w:val="9"/>
    <w:rsid w:val="009A3184"/>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D7B9E"/>
    <w:pPr>
      <w:widowControl w:val="0"/>
      <w:autoSpaceDE w:val="0"/>
      <w:autoSpaceDN w:val="0"/>
      <w:adjustRightInd w:val="0"/>
      <w:spacing w:before="120" w:after="120"/>
      <w:jc w:val="both"/>
    </w:pPr>
    <w:rPr>
      <w:rFonts w:ascii="Times New Roman" w:eastAsiaTheme="majorEastAsia" w:hAnsi="Times New Roman"/>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uiPriority w:val="99"/>
    <w:qFormat/>
    <w:rsid w:val="00D46133"/>
    <w:pPr>
      <w:ind w:right="720"/>
      <w:contextualSpacing/>
      <w:jc w:val="both"/>
    </w:pPr>
    <w:rPr>
      <w:rFonts w:eastAsiaTheme="minorHAnsi"/>
      <w:noProof/>
    </w:rPr>
  </w:style>
  <w:style w:type="character" w:customStyle="1" w:styleId="FootnoteChar">
    <w:name w:val="Footnote Char"/>
    <w:basedOn w:val="FootnoteTextChar"/>
    <w:link w:val="Footnote"/>
    <w:uiPriority w:val="99"/>
    <w:rsid w:val="00D46133"/>
    <w:rPr>
      <w:rFonts w:ascii="Times New Roman" w:eastAsiaTheme="minorHAnsi" w:hAnsi="Times New Roman"/>
      <w:noProof/>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t-search-result-citation">
    <w:name w:val="ct-search-result-citation"/>
    <w:basedOn w:val="DefaultParagraphFont"/>
    <w:rsid w:val="00EE04FD"/>
  </w:style>
  <w:style w:type="character" w:customStyle="1" w:styleId="ct-search-result-cite-count">
    <w:name w:val="ct-search-result-cite-count"/>
    <w:basedOn w:val="DefaultParagraphFont"/>
    <w:rsid w:val="00EE04FD"/>
  </w:style>
  <w:style w:type="character" w:styleId="Emphasis">
    <w:name w:val="Emphasis"/>
    <w:basedOn w:val="DefaultParagraphFont"/>
    <w:uiPriority w:val="20"/>
    <w:qFormat/>
    <w:rsid w:val="00EE04FD"/>
    <w:rPr>
      <w:i/>
      <w:iCs/>
    </w:rPr>
  </w:style>
  <w:style w:type="paragraph" w:customStyle="1" w:styleId="Default">
    <w:name w:val="Default"/>
    <w:rsid w:val="009E14AD"/>
    <w:pPr>
      <w:autoSpaceDE w:val="0"/>
      <w:autoSpaceDN w:val="0"/>
      <w:adjustRightInd w:val="0"/>
    </w:pPr>
    <w:rPr>
      <w:rFonts w:ascii="Times New Roman" w:hAnsi="Times New Roman" w:cs="Times New Roman"/>
      <w:color w:val="000000"/>
      <w:sz w:val="24"/>
      <w:szCs w:val="24"/>
    </w:rPr>
  </w:style>
  <w:style w:type="paragraph" w:customStyle="1" w:styleId="Numpara">
    <w:name w:val="Num para"/>
    <w:basedOn w:val="Normal"/>
    <w:link w:val="NumparaChar"/>
    <w:qFormat/>
    <w:rsid w:val="00EC33E5"/>
    <w:pPr>
      <w:numPr>
        <w:numId w:val="39"/>
      </w:numPr>
      <w:autoSpaceDE w:val="0"/>
      <w:autoSpaceDN w:val="0"/>
      <w:adjustRightInd w:val="0"/>
      <w:spacing w:line="480" w:lineRule="auto"/>
      <w:ind w:left="0" w:firstLine="0"/>
      <w:jc w:val="both"/>
    </w:pPr>
  </w:style>
  <w:style w:type="character" w:customStyle="1" w:styleId="NumparaChar">
    <w:name w:val="Num para Char"/>
    <w:basedOn w:val="DefaultParagraphFont"/>
    <w:link w:val="Numpara"/>
    <w:rsid w:val="00EC33E5"/>
    <w:rPr>
      <w:rFonts w:ascii="Times New Roman" w:eastAsia="Times New Roman" w:hAnsi="Times New Roman" w:cs="Times New Roman"/>
      <w:sz w:val="24"/>
      <w:szCs w:val="24"/>
    </w:rPr>
  </w:style>
  <w:style w:type="character" w:customStyle="1" w:styleId="summary-prefix-pmt">
    <w:name w:val="summary-prefix-pmt"/>
    <w:basedOn w:val="DefaultParagraphFont"/>
    <w:rsid w:val="00D834DB"/>
  </w:style>
  <w:style w:type="character" w:customStyle="1" w:styleId="muitypography-root">
    <w:name w:val="muitypography-root"/>
    <w:basedOn w:val="DefaultParagraphFont"/>
    <w:rsid w:val="00D834DB"/>
  </w:style>
  <w:style w:type="character" w:customStyle="1" w:styleId="ct-result-summary-snippet">
    <w:name w:val="ct-result-summary-snippet"/>
    <w:basedOn w:val="DefaultParagraphFont"/>
    <w:rsid w:val="00D834DB"/>
  </w:style>
  <w:style w:type="character" w:customStyle="1" w:styleId="css-pkhy8p">
    <w:name w:val="css-pkhy8p"/>
    <w:basedOn w:val="DefaultParagraphFont"/>
    <w:rsid w:val="00D8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221">
      <w:bodyDiv w:val="1"/>
      <w:marLeft w:val="0"/>
      <w:marRight w:val="0"/>
      <w:marTop w:val="0"/>
      <w:marBottom w:val="0"/>
      <w:divBdr>
        <w:top w:val="none" w:sz="0" w:space="0" w:color="auto"/>
        <w:left w:val="none" w:sz="0" w:space="0" w:color="auto"/>
        <w:bottom w:val="none" w:sz="0" w:space="0" w:color="auto"/>
        <w:right w:val="none" w:sz="0" w:space="0" w:color="auto"/>
      </w:divBdr>
      <w:divsChild>
        <w:div w:id="1623807809">
          <w:marLeft w:val="0"/>
          <w:marRight w:val="0"/>
          <w:marTop w:val="0"/>
          <w:marBottom w:val="0"/>
          <w:divBdr>
            <w:top w:val="none" w:sz="0" w:space="0" w:color="auto"/>
            <w:left w:val="none" w:sz="0" w:space="0" w:color="auto"/>
            <w:bottom w:val="none" w:sz="0" w:space="0" w:color="auto"/>
            <w:right w:val="none" w:sz="0" w:space="0" w:color="auto"/>
          </w:divBdr>
        </w:div>
      </w:divsChild>
    </w:div>
    <w:div w:id="125511854">
      <w:bodyDiv w:val="1"/>
      <w:marLeft w:val="0"/>
      <w:marRight w:val="0"/>
      <w:marTop w:val="0"/>
      <w:marBottom w:val="0"/>
      <w:divBdr>
        <w:top w:val="none" w:sz="0" w:space="0" w:color="auto"/>
        <w:left w:val="none" w:sz="0" w:space="0" w:color="auto"/>
        <w:bottom w:val="none" w:sz="0" w:space="0" w:color="auto"/>
        <w:right w:val="none" w:sz="0" w:space="0" w:color="auto"/>
      </w:divBdr>
      <w:divsChild>
        <w:div w:id="303047549">
          <w:marLeft w:val="0"/>
          <w:marRight w:val="0"/>
          <w:marTop w:val="0"/>
          <w:marBottom w:val="0"/>
          <w:divBdr>
            <w:top w:val="none" w:sz="0" w:space="0" w:color="auto"/>
            <w:left w:val="none" w:sz="0" w:space="0" w:color="auto"/>
            <w:bottom w:val="none" w:sz="0" w:space="0" w:color="auto"/>
            <w:right w:val="none" w:sz="0" w:space="0" w:color="auto"/>
          </w:divBdr>
          <w:divsChild>
            <w:div w:id="779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6934">
      <w:bodyDiv w:val="1"/>
      <w:marLeft w:val="0"/>
      <w:marRight w:val="0"/>
      <w:marTop w:val="0"/>
      <w:marBottom w:val="0"/>
      <w:divBdr>
        <w:top w:val="none" w:sz="0" w:space="0" w:color="auto"/>
        <w:left w:val="none" w:sz="0" w:space="0" w:color="auto"/>
        <w:bottom w:val="none" w:sz="0" w:space="0" w:color="auto"/>
        <w:right w:val="none" w:sz="0" w:space="0" w:color="auto"/>
      </w:divBdr>
      <w:divsChild>
        <w:div w:id="226696095">
          <w:marLeft w:val="0"/>
          <w:marRight w:val="0"/>
          <w:marTop w:val="0"/>
          <w:marBottom w:val="0"/>
          <w:divBdr>
            <w:top w:val="none" w:sz="0" w:space="0" w:color="auto"/>
            <w:left w:val="none" w:sz="0" w:space="0" w:color="auto"/>
            <w:bottom w:val="none" w:sz="0" w:space="0" w:color="auto"/>
            <w:right w:val="none" w:sz="0" w:space="0" w:color="auto"/>
          </w:divBdr>
        </w:div>
      </w:divsChild>
    </w:div>
    <w:div w:id="686490952">
      <w:bodyDiv w:val="1"/>
      <w:marLeft w:val="0"/>
      <w:marRight w:val="0"/>
      <w:marTop w:val="0"/>
      <w:marBottom w:val="0"/>
      <w:divBdr>
        <w:top w:val="none" w:sz="0" w:space="0" w:color="auto"/>
        <w:left w:val="none" w:sz="0" w:space="0" w:color="auto"/>
        <w:bottom w:val="none" w:sz="0" w:space="0" w:color="auto"/>
        <w:right w:val="none" w:sz="0" w:space="0" w:color="auto"/>
      </w:divBdr>
      <w:divsChild>
        <w:div w:id="1515460931">
          <w:marLeft w:val="0"/>
          <w:marRight w:val="0"/>
          <w:marTop w:val="0"/>
          <w:marBottom w:val="0"/>
          <w:divBdr>
            <w:top w:val="none" w:sz="0" w:space="0" w:color="auto"/>
            <w:left w:val="none" w:sz="0" w:space="0" w:color="auto"/>
            <w:bottom w:val="none" w:sz="0" w:space="0" w:color="auto"/>
            <w:right w:val="none" w:sz="0" w:space="0" w:color="auto"/>
          </w:divBdr>
        </w:div>
      </w:divsChild>
    </w:div>
    <w:div w:id="1168598140">
      <w:bodyDiv w:val="1"/>
      <w:marLeft w:val="0"/>
      <w:marRight w:val="0"/>
      <w:marTop w:val="0"/>
      <w:marBottom w:val="0"/>
      <w:divBdr>
        <w:top w:val="none" w:sz="0" w:space="0" w:color="auto"/>
        <w:left w:val="none" w:sz="0" w:space="0" w:color="auto"/>
        <w:bottom w:val="none" w:sz="0" w:space="0" w:color="auto"/>
        <w:right w:val="none" w:sz="0" w:space="0" w:color="auto"/>
      </w:divBdr>
      <w:divsChild>
        <w:div w:id="1493521539">
          <w:marLeft w:val="0"/>
          <w:marRight w:val="0"/>
          <w:marTop w:val="0"/>
          <w:marBottom w:val="0"/>
          <w:divBdr>
            <w:top w:val="none" w:sz="0" w:space="0" w:color="auto"/>
            <w:left w:val="none" w:sz="0" w:space="0" w:color="auto"/>
            <w:bottom w:val="none" w:sz="0" w:space="0" w:color="auto"/>
            <w:right w:val="none" w:sz="0" w:space="0" w:color="auto"/>
          </w:divBdr>
        </w:div>
        <w:div w:id="1117411618">
          <w:marLeft w:val="0"/>
          <w:marRight w:val="0"/>
          <w:marTop w:val="0"/>
          <w:marBottom w:val="0"/>
          <w:divBdr>
            <w:top w:val="none" w:sz="0" w:space="0" w:color="auto"/>
            <w:left w:val="none" w:sz="0" w:space="0" w:color="auto"/>
            <w:bottom w:val="none" w:sz="0" w:space="0" w:color="auto"/>
            <w:right w:val="none" w:sz="0" w:space="0" w:color="auto"/>
          </w:divBdr>
          <w:divsChild>
            <w:div w:id="9884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4873">
      <w:bodyDiv w:val="1"/>
      <w:marLeft w:val="0"/>
      <w:marRight w:val="0"/>
      <w:marTop w:val="0"/>
      <w:marBottom w:val="0"/>
      <w:divBdr>
        <w:top w:val="none" w:sz="0" w:space="0" w:color="auto"/>
        <w:left w:val="none" w:sz="0" w:space="0" w:color="auto"/>
        <w:bottom w:val="none" w:sz="0" w:space="0" w:color="auto"/>
        <w:right w:val="none" w:sz="0" w:space="0" w:color="auto"/>
      </w:divBdr>
      <w:divsChild>
        <w:div w:id="1636521071">
          <w:marLeft w:val="0"/>
          <w:marRight w:val="0"/>
          <w:marTop w:val="0"/>
          <w:marBottom w:val="0"/>
          <w:divBdr>
            <w:top w:val="none" w:sz="0" w:space="0" w:color="auto"/>
            <w:left w:val="none" w:sz="0" w:space="0" w:color="auto"/>
            <w:bottom w:val="none" w:sz="0" w:space="0" w:color="auto"/>
            <w:right w:val="none" w:sz="0" w:space="0" w:color="auto"/>
          </w:divBdr>
        </w:div>
      </w:divsChild>
    </w:div>
    <w:div w:id="1328703229">
      <w:bodyDiv w:val="1"/>
      <w:marLeft w:val="0"/>
      <w:marRight w:val="0"/>
      <w:marTop w:val="0"/>
      <w:marBottom w:val="0"/>
      <w:divBdr>
        <w:top w:val="none" w:sz="0" w:space="0" w:color="auto"/>
        <w:left w:val="none" w:sz="0" w:space="0" w:color="auto"/>
        <w:bottom w:val="none" w:sz="0" w:space="0" w:color="auto"/>
        <w:right w:val="none" w:sz="0" w:space="0" w:color="auto"/>
      </w:divBdr>
      <w:divsChild>
        <w:div w:id="173501913">
          <w:marLeft w:val="0"/>
          <w:marRight w:val="0"/>
          <w:marTop w:val="0"/>
          <w:marBottom w:val="0"/>
          <w:divBdr>
            <w:top w:val="none" w:sz="0" w:space="0" w:color="auto"/>
            <w:left w:val="none" w:sz="0" w:space="0" w:color="auto"/>
            <w:bottom w:val="none" w:sz="0" w:space="0" w:color="auto"/>
            <w:right w:val="none" w:sz="0" w:space="0" w:color="auto"/>
          </w:divBdr>
        </w:div>
      </w:divsChild>
    </w:div>
    <w:div w:id="1604532288">
      <w:bodyDiv w:val="1"/>
      <w:marLeft w:val="0"/>
      <w:marRight w:val="0"/>
      <w:marTop w:val="0"/>
      <w:marBottom w:val="0"/>
      <w:divBdr>
        <w:top w:val="none" w:sz="0" w:space="0" w:color="auto"/>
        <w:left w:val="none" w:sz="0" w:space="0" w:color="auto"/>
        <w:bottom w:val="none" w:sz="0" w:space="0" w:color="auto"/>
        <w:right w:val="none" w:sz="0" w:space="0" w:color="auto"/>
      </w:divBdr>
      <w:divsChild>
        <w:div w:id="783965480">
          <w:marLeft w:val="0"/>
          <w:marRight w:val="0"/>
          <w:marTop w:val="0"/>
          <w:marBottom w:val="0"/>
          <w:divBdr>
            <w:top w:val="none" w:sz="0" w:space="0" w:color="auto"/>
            <w:left w:val="none" w:sz="0" w:space="0" w:color="auto"/>
            <w:bottom w:val="none" w:sz="0" w:space="0" w:color="auto"/>
            <w:right w:val="none" w:sz="0" w:space="0" w:color="auto"/>
          </w:divBdr>
        </w:div>
      </w:divsChild>
    </w:div>
    <w:div w:id="1608004306">
      <w:bodyDiv w:val="1"/>
      <w:marLeft w:val="0"/>
      <w:marRight w:val="0"/>
      <w:marTop w:val="0"/>
      <w:marBottom w:val="0"/>
      <w:divBdr>
        <w:top w:val="none" w:sz="0" w:space="0" w:color="auto"/>
        <w:left w:val="none" w:sz="0" w:space="0" w:color="auto"/>
        <w:bottom w:val="none" w:sz="0" w:space="0" w:color="auto"/>
        <w:right w:val="none" w:sz="0" w:space="0" w:color="auto"/>
      </w:divBdr>
      <w:divsChild>
        <w:div w:id="1198198294">
          <w:marLeft w:val="0"/>
          <w:marRight w:val="0"/>
          <w:marTop w:val="0"/>
          <w:marBottom w:val="0"/>
          <w:divBdr>
            <w:top w:val="none" w:sz="0" w:space="0" w:color="auto"/>
            <w:left w:val="none" w:sz="0" w:space="0" w:color="auto"/>
            <w:bottom w:val="none" w:sz="0" w:space="0" w:color="auto"/>
            <w:right w:val="none" w:sz="0" w:space="0" w:color="auto"/>
          </w:divBdr>
        </w:div>
        <w:div w:id="1588807766">
          <w:marLeft w:val="0"/>
          <w:marRight w:val="0"/>
          <w:marTop w:val="0"/>
          <w:marBottom w:val="0"/>
          <w:divBdr>
            <w:top w:val="none" w:sz="0" w:space="0" w:color="auto"/>
            <w:left w:val="none" w:sz="0" w:space="0" w:color="auto"/>
            <w:bottom w:val="none" w:sz="0" w:space="0" w:color="auto"/>
            <w:right w:val="none" w:sz="0" w:space="0" w:color="auto"/>
          </w:divBdr>
        </w:div>
        <w:div w:id="1234311006">
          <w:marLeft w:val="0"/>
          <w:marRight w:val="0"/>
          <w:marTop w:val="0"/>
          <w:marBottom w:val="0"/>
          <w:divBdr>
            <w:top w:val="none" w:sz="0" w:space="0" w:color="auto"/>
            <w:left w:val="none" w:sz="0" w:space="0" w:color="auto"/>
            <w:bottom w:val="none" w:sz="0" w:space="0" w:color="auto"/>
            <w:right w:val="none" w:sz="0" w:space="0" w:color="auto"/>
          </w:divBdr>
          <w:divsChild>
            <w:div w:id="831217095">
              <w:marLeft w:val="0"/>
              <w:marRight w:val="0"/>
              <w:marTop w:val="0"/>
              <w:marBottom w:val="0"/>
              <w:divBdr>
                <w:top w:val="none" w:sz="0" w:space="0" w:color="auto"/>
                <w:left w:val="none" w:sz="0" w:space="0" w:color="auto"/>
                <w:bottom w:val="none" w:sz="0" w:space="0" w:color="auto"/>
                <w:right w:val="none" w:sz="0" w:space="0" w:color="auto"/>
              </w:divBdr>
            </w:div>
          </w:divsChild>
        </w:div>
        <w:div w:id="1876962293">
          <w:marLeft w:val="0"/>
          <w:marRight w:val="0"/>
          <w:marTop w:val="0"/>
          <w:marBottom w:val="0"/>
          <w:divBdr>
            <w:top w:val="none" w:sz="0" w:space="0" w:color="auto"/>
            <w:left w:val="none" w:sz="0" w:space="0" w:color="auto"/>
            <w:bottom w:val="none" w:sz="0" w:space="0" w:color="auto"/>
            <w:right w:val="none" w:sz="0" w:space="0" w:color="auto"/>
          </w:divBdr>
        </w:div>
      </w:divsChild>
    </w:div>
    <w:div w:id="1684042055">
      <w:bodyDiv w:val="1"/>
      <w:marLeft w:val="0"/>
      <w:marRight w:val="0"/>
      <w:marTop w:val="0"/>
      <w:marBottom w:val="0"/>
      <w:divBdr>
        <w:top w:val="none" w:sz="0" w:space="0" w:color="auto"/>
        <w:left w:val="none" w:sz="0" w:space="0" w:color="auto"/>
        <w:bottom w:val="none" w:sz="0" w:space="0" w:color="auto"/>
        <w:right w:val="none" w:sz="0" w:space="0" w:color="auto"/>
      </w:divBdr>
      <w:divsChild>
        <w:div w:id="1398749154">
          <w:marLeft w:val="0"/>
          <w:marRight w:val="0"/>
          <w:marTop w:val="0"/>
          <w:marBottom w:val="0"/>
          <w:divBdr>
            <w:top w:val="none" w:sz="0" w:space="0" w:color="auto"/>
            <w:left w:val="none" w:sz="0" w:space="0" w:color="auto"/>
            <w:bottom w:val="none" w:sz="0" w:space="0" w:color="auto"/>
            <w:right w:val="none" w:sz="0" w:space="0" w:color="auto"/>
          </w:divBdr>
        </w:div>
      </w:divsChild>
    </w:div>
    <w:div w:id="1770395521">
      <w:bodyDiv w:val="1"/>
      <w:marLeft w:val="0"/>
      <w:marRight w:val="0"/>
      <w:marTop w:val="0"/>
      <w:marBottom w:val="0"/>
      <w:divBdr>
        <w:top w:val="none" w:sz="0" w:space="0" w:color="auto"/>
        <w:left w:val="none" w:sz="0" w:space="0" w:color="auto"/>
        <w:bottom w:val="none" w:sz="0" w:space="0" w:color="auto"/>
        <w:right w:val="none" w:sz="0" w:space="0" w:color="auto"/>
      </w:divBdr>
      <w:divsChild>
        <w:div w:id="1522623864">
          <w:marLeft w:val="0"/>
          <w:marRight w:val="0"/>
          <w:marTop w:val="0"/>
          <w:marBottom w:val="0"/>
          <w:divBdr>
            <w:top w:val="none" w:sz="0" w:space="0" w:color="auto"/>
            <w:left w:val="none" w:sz="0" w:space="0" w:color="auto"/>
            <w:bottom w:val="none" w:sz="0" w:space="0" w:color="auto"/>
            <w:right w:val="none" w:sz="0" w:space="0" w:color="auto"/>
          </w:divBdr>
        </w:div>
        <w:div w:id="1455246121">
          <w:marLeft w:val="0"/>
          <w:marRight w:val="0"/>
          <w:marTop w:val="0"/>
          <w:marBottom w:val="0"/>
          <w:divBdr>
            <w:top w:val="none" w:sz="0" w:space="0" w:color="auto"/>
            <w:left w:val="none" w:sz="0" w:space="0" w:color="auto"/>
            <w:bottom w:val="none" w:sz="0" w:space="0" w:color="auto"/>
            <w:right w:val="none" w:sz="0" w:space="0" w:color="auto"/>
          </w:divBdr>
        </w:div>
        <w:div w:id="504319482">
          <w:marLeft w:val="0"/>
          <w:marRight w:val="0"/>
          <w:marTop w:val="0"/>
          <w:marBottom w:val="0"/>
          <w:divBdr>
            <w:top w:val="none" w:sz="0" w:space="0" w:color="auto"/>
            <w:left w:val="none" w:sz="0" w:space="0" w:color="auto"/>
            <w:bottom w:val="none" w:sz="0" w:space="0" w:color="auto"/>
            <w:right w:val="none" w:sz="0" w:space="0" w:color="auto"/>
          </w:divBdr>
          <w:divsChild>
            <w:div w:id="1123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029">
      <w:bodyDiv w:val="1"/>
      <w:marLeft w:val="0"/>
      <w:marRight w:val="0"/>
      <w:marTop w:val="0"/>
      <w:marBottom w:val="0"/>
      <w:divBdr>
        <w:top w:val="none" w:sz="0" w:space="0" w:color="auto"/>
        <w:left w:val="none" w:sz="0" w:space="0" w:color="auto"/>
        <w:bottom w:val="none" w:sz="0" w:space="0" w:color="auto"/>
        <w:right w:val="none" w:sz="0" w:space="0" w:color="auto"/>
      </w:divBdr>
      <w:divsChild>
        <w:div w:id="2126655077">
          <w:marLeft w:val="0"/>
          <w:marRight w:val="0"/>
          <w:marTop w:val="0"/>
          <w:marBottom w:val="0"/>
          <w:divBdr>
            <w:top w:val="none" w:sz="0" w:space="0" w:color="auto"/>
            <w:left w:val="none" w:sz="0" w:space="0" w:color="auto"/>
            <w:bottom w:val="none" w:sz="0" w:space="0" w:color="auto"/>
            <w:right w:val="none" w:sz="0" w:space="0" w:color="auto"/>
          </w:divBdr>
        </w:div>
      </w:divsChild>
    </w:div>
    <w:div w:id="2002148902">
      <w:bodyDiv w:val="1"/>
      <w:marLeft w:val="0"/>
      <w:marRight w:val="0"/>
      <w:marTop w:val="0"/>
      <w:marBottom w:val="0"/>
      <w:divBdr>
        <w:top w:val="none" w:sz="0" w:space="0" w:color="auto"/>
        <w:left w:val="none" w:sz="0" w:space="0" w:color="auto"/>
        <w:bottom w:val="none" w:sz="0" w:space="0" w:color="auto"/>
        <w:right w:val="none" w:sz="0" w:space="0" w:color="auto"/>
      </w:divBdr>
      <w:divsChild>
        <w:div w:id="1664772072">
          <w:marLeft w:val="0"/>
          <w:marRight w:val="0"/>
          <w:marTop w:val="0"/>
          <w:marBottom w:val="0"/>
          <w:divBdr>
            <w:top w:val="none" w:sz="0" w:space="0" w:color="auto"/>
            <w:left w:val="none" w:sz="0" w:space="0" w:color="auto"/>
            <w:bottom w:val="none" w:sz="0" w:space="0" w:color="auto"/>
            <w:right w:val="none" w:sz="0" w:space="0" w:color="auto"/>
          </w:divBdr>
        </w:div>
        <w:div w:id="1568684471">
          <w:marLeft w:val="0"/>
          <w:marRight w:val="0"/>
          <w:marTop w:val="0"/>
          <w:marBottom w:val="0"/>
          <w:divBdr>
            <w:top w:val="none" w:sz="0" w:space="0" w:color="auto"/>
            <w:left w:val="none" w:sz="0" w:space="0" w:color="auto"/>
            <w:bottom w:val="none" w:sz="0" w:space="0" w:color="auto"/>
            <w:right w:val="none" w:sz="0" w:space="0" w:color="auto"/>
          </w:divBdr>
          <w:divsChild>
            <w:div w:id="14412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782">
      <w:bodyDiv w:val="1"/>
      <w:marLeft w:val="0"/>
      <w:marRight w:val="0"/>
      <w:marTop w:val="0"/>
      <w:marBottom w:val="0"/>
      <w:divBdr>
        <w:top w:val="none" w:sz="0" w:space="0" w:color="auto"/>
        <w:left w:val="none" w:sz="0" w:space="0" w:color="auto"/>
        <w:bottom w:val="none" w:sz="0" w:space="0" w:color="auto"/>
        <w:right w:val="none" w:sz="0" w:space="0" w:color="auto"/>
      </w:divBdr>
      <w:divsChild>
        <w:div w:id="1945453219">
          <w:marLeft w:val="0"/>
          <w:marRight w:val="0"/>
          <w:marTop w:val="0"/>
          <w:marBottom w:val="0"/>
          <w:divBdr>
            <w:top w:val="none" w:sz="0" w:space="0" w:color="auto"/>
            <w:left w:val="none" w:sz="0" w:space="0" w:color="auto"/>
            <w:bottom w:val="none" w:sz="0" w:space="0" w:color="auto"/>
            <w:right w:val="none" w:sz="0" w:space="0" w:color="auto"/>
          </w:divBdr>
          <w:divsChild>
            <w:div w:id="1016493367">
              <w:marLeft w:val="0"/>
              <w:marRight w:val="0"/>
              <w:marTop w:val="0"/>
              <w:marBottom w:val="0"/>
              <w:divBdr>
                <w:top w:val="none" w:sz="0" w:space="0" w:color="auto"/>
                <w:left w:val="none" w:sz="0" w:space="0" w:color="auto"/>
                <w:bottom w:val="none" w:sz="0" w:space="0" w:color="auto"/>
                <w:right w:val="none" w:sz="0" w:space="0" w:color="auto"/>
              </w:divBdr>
            </w:div>
          </w:divsChild>
        </w:div>
        <w:div w:id="1983462091">
          <w:marLeft w:val="0"/>
          <w:marRight w:val="0"/>
          <w:marTop w:val="0"/>
          <w:marBottom w:val="0"/>
          <w:divBdr>
            <w:top w:val="none" w:sz="0" w:space="0" w:color="auto"/>
            <w:left w:val="none" w:sz="0" w:space="0" w:color="auto"/>
            <w:bottom w:val="none" w:sz="0" w:space="0" w:color="auto"/>
            <w:right w:val="none" w:sz="0" w:space="0" w:color="auto"/>
          </w:divBdr>
        </w:div>
        <w:div w:id="2139835010">
          <w:marLeft w:val="0"/>
          <w:marRight w:val="0"/>
          <w:marTop w:val="0"/>
          <w:marBottom w:val="0"/>
          <w:divBdr>
            <w:top w:val="none" w:sz="0" w:space="0" w:color="auto"/>
            <w:left w:val="none" w:sz="0" w:space="0" w:color="auto"/>
            <w:bottom w:val="none" w:sz="0" w:space="0" w:color="auto"/>
            <w:right w:val="none" w:sz="0" w:space="0" w:color="auto"/>
          </w:divBdr>
          <w:divsChild>
            <w:div w:id="6607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pns-stores-3" TargetMode="External"/><Relationship Id="rId13" Type="http://schemas.openxmlformats.org/officeDocument/2006/relationships/hyperlink" Target="https://casetext.com/case/in-re-long-2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asetext.com/case/in-re-dc-127?jxs=tx&amp;p=1&amp;q=The%20Court%E2%80%99s%20judgment%20in%20this%20case%20is%20void%20for%20lack%20of%20subject%20matter%20jurisdiction,%20not%20merely%20voidable,%20a%20key%20distinction.%20While%20voidable%20judgments%20must%20be%20challenged%20within%20normal%20appellate%20time%20constraints,%20there%20is%20no%20deadline%20to%20challenge%20a%20judgment%20that%20is%20void%20for%20lack%20of%20subject%20matter%20jurisdiction.&amp;sort=relevance&amp;type=case&amp;ssr=false&amp;scrollTo=true&amp;find=" TargetMode="External"/><Relationship Id="rId12" Type="http://schemas.openxmlformats.org/officeDocument/2006/relationships/hyperlink" Target="https://casetext.com/case/pns-stores-3?jxs=5cir%2Cus%2Ctx&amp;p=1&amp;q=A+judgment+void+upon+its+face+is+subject+to+an+attack+at+any+time%22+&amp;sort=relevance&amp;tab=keyword&amp;type=case&amp;ssr=false&amp;scrollTo=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setext.com/statute/united-states-code/title-28-appendix/federal-rules-of-civil-procedure/title-vii-judgment/rule-60-relief-from-a-judgment-or-order" TargetMode="External"/><Relationship Id="rId1" Type="http://schemas.openxmlformats.org/officeDocument/2006/relationships/numbering" Target="numbering.xml"/><Relationship Id="rId6" Type="http://schemas.openxmlformats.org/officeDocument/2006/relationships/hyperlink" Target="https://casetext.com/case/sheldon-v-sheldon-13?jxs=tx&amp;p=1&amp;q=The+Court%E2%80%99s+judgment+in+this+case+is+void+for+lack+of+subject+matter+jurisdiction%2C+not+merely+voidable%2C+a+key+distinction.+While+voidable+judgments+must+be+challenged+within+normal+appellate+time+constraints%2C+there+is+no+deadline+to+challenge+a+judgment+that+is+void+for+lack+of+subject+matter+jurisdiction.&amp;sort=relevance&amp;type=case&amp;ssr=false&amp;scrollTo=true&amp;find=" TargetMode="External"/><Relationship Id="rId11" Type="http://schemas.openxmlformats.org/officeDocument/2006/relationships/hyperlink" Target="https://casetext.com/case/pns-stores-3?jxs=5cir%2Cus%2Ctx&amp;p=1&amp;q=A+judgment+void+upon+its+face+is+subject+to+an+attack+at+any+time%22+&amp;sort=relevance&amp;tab=keyword&amp;type=case&amp;ssr=false&amp;scrollTo=true" TargetMode="External"/><Relationship Id="rId5" Type="http://schemas.openxmlformats.org/officeDocument/2006/relationships/webSettings" Target="webSettings.xml"/><Relationship Id="rId15" Type="http://schemas.openxmlformats.org/officeDocument/2006/relationships/hyperlink" Target="https://casetext.com/statute/united-states-code/title-28-appendix/federal-rules-of-civil-procedure/title-vii-judgment/rule-60-relief-from-a-judgment-or-order" TargetMode="External"/><Relationship Id="rId10" Type="http://schemas.openxmlformats.org/officeDocument/2006/relationships/hyperlink" Target="https://casetext.com/case/baxter-v-ruddle-1" TargetMode="External"/><Relationship Id="rId4" Type="http://schemas.openxmlformats.org/officeDocument/2006/relationships/settings" Target="settings.xml"/><Relationship Id="rId9" Type="http://schemas.openxmlformats.org/officeDocument/2006/relationships/hyperlink" Target="https://casetext.com/case/gainous-v-gainous-1" TargetMode="External"/><Relationship Id="rId14" Type="http://schemas.openxmlformats.org/officeDocument/2006/relationships/hyperlink" Target="https://casetext.com/statute/united-states-code/title-28-appendix/federal-rules-of-civil-procedure/title-vii-judgment/rule-60-relief-from-a-judgment-or-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1788</Words>
  <Characters>10196</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MENDEL</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dcterms:created xsi:type="dcterms:W3CDTF">2024-07-01T17:59:00Z</dcterms:created>
  <dcterms:modified xsi:type="dcterms:W3CDTF">2024-07-02T21:29:00Z</dcterms:modified>
</cp:coreProperties>
</file>