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ED" w:rsidRPr="00361EED" w:rsidRDefault="00361EED" w:rsidP="00361EED">
      <w:pPr>
        <w:spacing w:before="100" w:beforeAutospacing="1" w:after="100" w:afterAutospacing="1" w:line="240" w:lineRule="auto"/>
        <w:ind w:firstLine="0"/>
      </w:pPr>
      <w:r w:rsidRPr="00361EED">
        <w:t>To provide a detailed analysis of an appeal in Texas, I would need more specific information about the case, such as the court level (e.g., Texas Court of Appeals, Texas Supreme Court), the legal issues involved, the parties, and the procedural history. However, I can provide a general overview of the appellate process in Texas and key considerations for analyzing an appeal.</w:t>
      </w:r>
      <w:bookmarkStart w:id="0" w:name="_GoBack"/>
      <w:bookmarkEnd w:id="0"/>
    </w:p>
    <w:p w:rsidR="00361EED" w:rsidRPr="00361EED" w:rsidRDefault="00361EED" w:rsidP="00C210D6">
      <w:pPr>
        <w:numPr>
          <w:ilvl w:val="0"/>
          <w:numId w:val="5"/>
        </w:numPr>
        <w:spacing w:before="100" w:beforeAutospacing="1" w:after="100" w:afterAutospacing="1" w:line="240" w:lineRule="auto"/>
        <w:ind w:left="0" w:firstLine="0"/>
        <w:outlineLvl w:val="2"/>
        <w:rPr>
          <w:b/>
          <w:bCs/>
          <w:sz w:val="27"/>
          <w:szCs w:val="27"/>
        </w:rPr>
      </w:pPr>
      <w:r w:rsidRPr="00361EED">
        <w:rPr>
          <w:b/>
          <w:bCs/>
          <w:sz w:val="27"/>
          <w:szCs w:val="27"/>
        </w:rPr>
        <w:t>General Overview of the Appellate Process in Texas</w:t>
      </w:r>
    </w:p>
    <w:p w:rsidR="00361EED" w:rsidRPr="00361EED" w:rsidRDefault="00361EED" w:rsidP="00C210D6">
      <w:pPr>
        <w:numPr>
          <w:ilvl w:val="0"/>
          <w:numId w:val="6"/>
        </w:numPr>
        <w:spacing w:before="100" w:beforeAutospacing="1" w:after="100" w:afterAutospacing="1" w:line="240" w:lineRule="auto"/>
      </w:pPr>
      <w:r w:rsidRPr="00361EED">
        <w:rPr>
          <w:b/>
          <w:bCs/>
        </w:rPr>
        <w:t>Filing the Notice of Appeal</w:t>
      </w:r>
      <w:r w:rsidRPr="00361EED">
        <w:t>:</w:t>
      </w:r>
    </w:p>
    <w:p w:rsidR="00361EED" w:rsidRPr="00361EED" w:rsidRDefault="00361EED" w:rsidP="00C210D6">
      <w:pPr>
        <w:numPr>
          <w:ilvl w:val="1"/>
          <w:numId w:val="6"/>
        </w:numPr>
        <w:spacing w:before="100" w:beforeAutospacing="1" w:after="100" w:afterAutospacing="1" w:line="240" w:lineRule="auto"/>
      </w:pPr>
      <w:r w:rsidRPr="00361EED">
        <w:t>The appellant (the party appealing the decision) must file a notice of appeal within a specific time frame, typically 30 days after the judgment is signed in civil cases and 90 days in criminal cases (unless extended by a motion for new trial or other post-judgment motions).</w:t>
      </w:r>
    </w:p>
    <w:p w:rsidR="00361EED" w:rsidRPr="00361EED" w:rsidRDefault="00361EED" w:rsidP="00C210D6">
      <w:pPr>
        <w:numPr>
          <w:ilvl w:val="0"/>
          <w:numId w:val="6"/>
        </w:numPr>
        <w:spacing w:before="100" w:beforeAutospacing="1" w:after="100" w:afterAutospacing="1" w:line="240" w:lineRule="auto"/>
      </w:pPr>
      <w:r w:rsidRPr="00361EED">
        <w:rPr>
          <w:b/>
          <w:bCs/>
        </w:rPr>
        <w:t>Record Preparation</w:t>
      </w:r>
      <w:r w:rsidRPr="00361EED">
        <w:t>:</w:t>
      </w:r>
    </w:p>
    <w:p w:rsidR="00361EED" w:rsidRPr="00361EED" w:rsidRDefault="00361EED" w:rsidP="00C210D6">
      <w:pPr>
        <w:numPr>
          <w:ilvl w:val="1"/>
          <w:numId w:val="6"/>
        </w:numPr>
        <w:spacing w:before="100" w:beforeAutospacing="1" w:after="100" w:afterAutospacing="1" w:line="240" w:lineRule="auto"/>
      </w:pPr>
      <w:r w:rsidRPr="00361EED">
        <w:t>The appellate court requires a complete record of the trial court proceedings, including transcripts, exhibits, and pleadings. The appellant is responsible for ensuring the record is prepared and filed with the appellate court.</w:t>
      </w:r>
    </w:p>
    <w:p w:rsidR="00361EED" w:rsidRPr="00361EED" w:rsidRDefault="00361EED" w:rsidP="00C210D6">
      <w:pPr>
        <w:numPr>
          <w:ilvl w:val="0"/>
          <w:numId w:val="6"/>
        </w:numPr>
        <w:spacing w:before="100" w:beforeAutospacing="1" w:after="100" w:afterAutospacing="1" w:line="240" w:lineRule="auto"/>
      </w:pPr>
      <w:r w:rsidRPr="00361EED">
        <w:rPr>
          <w:b/>
          <w:bCs/>
        </w:rPr>
        <w:t>Briefs</w:t>
      </w:r>
      <w:r w:rsidRPr="00361EED">
        <w:t>:</w:t>
      </w:r>
    </w:p>
    <w:p w:rsidR="00361EED" w:rsidRPr="00361EED" w:rsidRDefault="00361EED" w:rsidP="00C210D6">
      <w:pPr>
        <w:numPr>
          <w:ilvl w:val="1"/>
          <w:numId w:val="6"/>
        </w:numPr>
        <w:spacing w:before="100" w:beforeAutospacing="1" w:after="100" w:afterAutospacing="1" w:line="240" w:lineRule="auto"/>
      </w:pPr>
      <w:r w:rsidRPr="00361EED">
        <w:t>The appellant files an opening brief, outlining the legal arguments and errors alleged in the trial court’s decision.</w:t>
      </w:r>
    </w:p>
    <w:p w:rsidR="00361EED" w:rsidRPr="00361EED" w:rsidRDefault="00361EED" w:rsidP="00C210D6">
      <w:pPr>
        <w:numPr>
          <w:ilvl w:val="1"/>
          <w:numId w:val="6"/>
        </w:numPr>
        <w:spacing w:before="100" w:beforeAutospacing="1" w:after="100" w:afterAutospacing="1" w:line="240" w:lineRule="auto"/>
      </w:pPr>
      <w:r w:rsidRPr="00361EED">
        <w:t>The appellee (the party defending the trial court’s decision) files a response brief.</w:t>
      </w:r>
    </w:p>
    <w:p w:rsidR="00361EED" w:rsidRPr="00361EED" w:rsidRDefault="00361EED" w:rsidP="00C210D6">
      <w:pPr>
        <w:numPr>
          <w:ilvl w:val="1"/>
          <w:numId w:val="6"/>
        </w:numPr>
        <w:spacing w:before="100" w:beforeAutospacing="1" w:after="100" w:afterAutospacing="1" w:line="240" w:lineRule="auto"/>
      </w:pPr>
      <w:r w:rsidRPr="00361EED">
        <w:t>The appellant may file a reply brief to address the appellee’s arguments.</w:t>
      </w:r>
    </w:p>
    <w:p w:rsidR="00361EED" w:rsidRPr="00361EED" w:rsidRDefault="00361EED" w:rsidP="00C210D6">
      <w:pPr>
        <w:numPr>
          <w:ilvl w:val="0"/>
          <w:numId w:val="6"/>
        </w:numPr>
        <w:spacing w:before="100" w:beforeAutospacing="1" w:after="100" w:afterAutospacing="1" w:line="240" w:lineRule="auto"/>
      </w:pPr>
      <w:r w:rsidRPr="00361EED">
        <w:rPr>
          <w:b/>
          <w:bCs/>
        </w:rPr>
        <w:t>Oral Argument</w:t>
      </w:r>
      <w:r w:rsidRPr="00361EED">
        <w:t>:</w:t>
      </w:r>
    </w:p>
    <w:p w:rsidR="00361EED" w:rsidRPr="00361EED" w:rsidRDefault="00361EED" w:rsidP="00C210D6">
      <w:pPr>
        <w:numPr>
          <w:ilvl w:val="1"/>
          <w:numId w:val="6"/>
        </w:numPr>
        <w:spacing w:before="100" w:beforeAutospacing="1" w:after="100" w:afterAutospacing="1" w:line="240" w:lineRule="auto"/>
      </w:pPr>
      <w:r w:rsidRPr="00361EED">
        <w:t>The appellate court may schedule oral arguments, allowing both parties to present their case and answer questions from the judges.</w:t>
      </w:r>
    </w:p>
    <w:p w:rsidR="00361EED" w:rsidRPr="00361EED" w:rsidRDefault="00361EED" w:rsidP="00C210D6">
      <w:pPr>
        <w:numPr>
          <w:ilvl w:val="0"/>
          <w:numId w:val="6"/>
        </w:numPr>
        <w:spacing w:before="100" w:beforeAutospacing="1" w:after="100" w:afterAutospacing="1" w:line="240" w:lineRule="auto"/>
      </w:pPr>
      <w:r w:rsidRPr="00361EED">
        <w:rPr>
          <w:b/>
          <w:bCs/>
        </w:rPr>
        <w:t>Decision</w:t>
      </w:r>
      <w:r w:rsidRPr="00361EED">
        <w:t>:</w:t>
      </w:r>
    </w:p>
    <w:p w:rsidR="00361EED" w:rsidRPr="00361EED" w:rsidRDefault="00361EED" w:rsidP="00C210D6">
      <w:pPr>
        <w:numPr>
          <w:ilvl w:val="1"/>
          <w:numId w:val="6"/>
        </w:numPr>
        <w:spacing w:before="100" w:beforeAutospacing="1" w:after="100" w:afterAutospacing="1" w:line="240" w:lineRule="auto"/>
      </w:pPr>
      <w:r w:rsidRPr="00361EED">
        <w:t>The appellate court issues a written opinion, which may affirm, reverse, or modify the trial court’s decision. The court may also remand the case for further proceedings.</w:t>
      </w:r>
    </w:p>
    <w:p w:rsidR="00361EED" w:rsidRPr="00361EED" w:rsidRDefault="00361EED" w:rsidP="00C210D6">
      <w:pPr>
        <w:numPr>
          <w:ilvl w:val="0"/>
          <w:numId w:val="6"/>
        </w:numPr>
        <w:spacing w:before="100" w:beforeAutospacing="1" w:after="100" w:afterAutospacing="1" w:line="240" w:lineRule="auto"/>
      </w:pPr>
      <w:r w:rsidRPr="00361EED">
        <w:rPr>
          <w:b/>
          <w:bCs/>
        </w:rPr>
        <w:t>Further Appeals</w:t>
      </w:r>
      <w:r w:rsidRPr="00361EED">
        <w:t>:</w:t>
      </w:r>
    </w:p>
    <w:p w:rsidR="00361EED" w:rsidRPr="00361EED" w:rsidRDefault="00361EED" w:rsidP="00C210D6">
      <w:pPr>
        <w:numPr>
          <w:ilvl w:val="1"/>
          <w:numId w:val="6"/>
        </w:numPr>
        <w:spacing w:before="100" w:beforeAutospacing="1" w:after="100" w:afterAutospacing="1" w:line="240" w:lineRule="auto"/>
      </w:pPr>
      <w:r w:rsidRPr="00361EED">
        <w:t>If a party disagrees with the appellate court’s decision, they may petition for review by the Texas Supreme Court (for civil cases) or the Texas Court of Criminal Appeals (for criminal cases). These courts have discretionary review, meaning they choose which cases to hear.</w:t>
      </w:r>
    </w:p>
    <w:p w:rsidR="00361EED" w:rsidRPr="00361EED" w:rsidRDefault="00361EED" w:rsidP="00C210D6">
      <w:pPr>
        <w:numPr>
          <w:ilvl w:val="0"/>
          <w:numId w:val="5"/>
        </w:numPr>
        <w:spacing w:before="100" w:beforeAutospacing="1" w:after="100" w:afterAutospacing="1" w:line="240" w:lineRule="auto"/>
        <w:ind w:left="0" w:firstLine="0"/>
        <w:outlineLvl w:val="2"/>
        <w:rPr>
          <w:b/>
          <w:bCs/>
          <w:sz w:val="27"/>
          <w:szCs w:val="27"/>
        </w:rPr>
      </w:pPr>
      <w:r w:rsidRPr="00361EED">
        <w:rPr>
          <w:b/>
          <w:bCs/>
          <w:sz w:val="27"/>
          <w:szCs w:val="27"/>
        </w:rPr>
        <w:t>Key Considerations for Analyzing an Appeal</w:t>
      </w:r>
    </w:p>
    <w:p w:rsidR="00361EED" w:rsidRPr="00361EED" w:rsidRDefault="00361EED" w:rsidP="00C210D6">
      <w:pPr>
        <w:numPr>
          <w:ilvl w:val="0"/>
          <w:numId w:val="7"/>
        </w:numPr>
        <w:spacing w:before="100" w:beforeAutospacing="1" w:after="100" w:afterAutospacing="1" w:line="240" w:lineRule="auto"/>
      </w:pPr>
      <w:r w:rsidRPr="00361EED">
        <w:rPr>
          <w:b/>
          <w:bCs/>
        </w:rPr>
        <w:t>Standard of Review</w:t>
      </w:r>
      <w:r w:rsidRPr="00361EED">
        <w:t>:</w:t>
      </w:r>
    </w:p>
    <w:p w:rsidR="00361EED" w:rsidRPr="00361EED" w:rsidRDefault="00361EED" w:rsidP="00C210D6">
      <w:pPr>
        <w:numPr>
          <w:ilvl w:val="1"/>
          <w:numId w:val="7"/>
        </w:numPr>
        <w:spacing w:before="100" w:beforeAutospacing="1" w:after="100" w:afterAutospacing="1" w:line="240" w:lineRule="auto"/>
      </w:pPr>
      <w:r w:rsidRPr="00361EED">
        <w:t>The appellate court applies different standards of review depending on the issue. For example:</w:t>
      </w:r>
    </w:p>
    <w:p w:rsidR="00361EED" w:rsidRPr="00361EED" w:rsidRDefault="00361EED" w:rsidP="00C210D6">
      <w:pPr>
        <w:numPr>
          <w:ilvl w:val="2"/>
          <w:numId w:val="7"/>
        </w:numPr>
        <w:spacing w:before="100" w:beforeAutospacing="1" w:after="100" w:afterAutospacing="1" w:line="240" w:lineRule="auto"/>
      </w:pPr>
      <w:r w:rsidRPr="00361EED">
        <w:rPr>
          <w:b/>
          <w:bCs/>
        </w:rPr>
        <w:t>De Novo Review</w:t>
      </w:r>
      <w:r w:rsidRPr="00361EED">
        <w:t>: Applied to legal questions, where the appellate court gives no deference to the trial court’s decision.</w:t>
      </w:r>
    </w:p>
    <w:p w:rsidR="00361EED" w:rsidRPr="00361EED" w:rsidRDefault="00361EED" w:rsidP="00C210D6">
      <w:pPr>
        <w:numPr>
          <w:ilvl w:val="2"/>
          <w:numId w:val="7"/>
        </w:numPr>
        <w:spacing w:before="100" w:beforeAutospacing="1" w:after="100" w:afterAutospacing="1" w:line="240" w:lineRule="auto"/>
      </w:pPr>
      <w:r w:rsidRPr="00361EED">
        <w:rPr>
          <w:b/>
          <w:bCs/>
        </w:rPr>
        <w:lastRenderedPageBreak/>
        <w:t>Abuse of Discretion</w:t>
      </w:r>
      <w:r w:rsidRPr="00361EED">
        <w:t>: Applied to discretionary decisions, where the appellate court determines if the trial court acted arbitrarily or unreasonably.</w:t>
      </w:r>
    </w:p>
    <w:p w:rsidR="00361EED" w:rsidRPr="00361EED" w:rsidRDefault="00361EED" w:rsidP="00C210D6">
      <w:pPr>
        <w:numPr>
          <w:ilvl w:val="2"/>
          <w:numId w:val="7"/>
        </w:numPr>
        <w:spacing w:before="100" w:beforeAutospacing="1" w:after="100" w:afterAutospacing="1" w:line="240" w:lineRule="auto"/>
      </w:pPr>
      <w:r w:rsidRPr="00361EED">
        <w:rPr>
          <w:b/>
          <w:bCs/>
        </w:rPr>
        <w:t>Factual Sufficiency</w:t>
      </w:r>
      <w:r w:rsidRPr="00361EED">
        <w:t>: Applied to factual findings, where the appellate court assesses whether the evidence supports the trial court’s decision.</w:t>
      </w:r>
    </w:p>
    <w:p w:rsidR="00361EED" w:rsidRPr="00361EED" w:rsidRDefault="00361EED" w:rsidP="00C210D6">
      <w:pPr>
        <w:numPr>
          <w:ilvl w:val="0"/>
          <w:numId w:val="7"/>
        </w:numPr>
        <w:spacing w:before="100" w:beforeAutospacing="1" w:after="100" w:afterAutospacing="1" w:line="240" w:lineRule="auto"/>
      </w:pPr>
      <w:r w:rsidRPr="00361EED">
        <w:rPr>
          <w:b/>
          <w:bCs/>
        </w:rPr>
        <w:t>Preservation of Error</w:t>
      </w:r>
      <w:r w:rsidRPr="00361EED">
        <w:t>:</w:t>
      </w:r>
    </w:p>
    <w:p w:rsidR="00361EED" w:rsidRPr="00361EED" w:rsidRDefault="00361EED" w:rsidP="00C210D6">
      <w:pPr>
        <w:numPr>
          <w:ilvl w:val="1"/>
          <w:numId w:val="7"/>
        </w:numPr>
        <w:spacing w:before="100" w:beforeAutospacing="1" w:after="100" w:afterAutospacing="1" w:line="240" w:lineRule="auto"/>
      </w:pPr>
      <w:r w:rsidRPr="00361EED">
        <w:t>The appellant must have preserved any alleged errors by raising them in the trial court (e.g., through objections, motions, or requests for rulings). Failure to preserve error may result in waiver of the issue on appeal.</w:t>
      </w:r>
    </w:p>
    <w:p w:rsidR="00361EED" w:rsidRPr="00361EED" w:rsidRDefault="00361EED" w:rsidP="00C210D6">
      <w:pPr>
        <w:numPr>
          <w:ilvl w:val="0"/>
          <w:numId w:val="7"/>
        </w:numPr>
        <w:spacing w:before="100" w:beforeAutospacing="1" w:after="100" w:afterAutospacing="1" w:line="240" w:lineRule="auto"/>
      </w:pPr>
      <w:r w:rsidRPr="00361EED">
        <w:rPr>
          <w:b/>
          <w:bCs/>
        </w:rPr>
        <w:t>Legal Arguments</w:t>
      </w:r>
      <w:r w:rsidRPr="00361EED">
        <w:t>:</w:t>
      </w:r>
    </w:p>
    <w:p w:rsidR="00361EED" w:rsidRPr="00361EED" w:rsidRDefault="00361EED" w:rsidP="00C210D6">
      <w:pPr>
        <w:numPr>
          <w:ilvl w:val="1"/>
          <w:numId w:val="7"/>
        </w:numPr>
        <w:spacing w:before="100" w:beforeAutospacing="1" w:after="100" w:afterAutospacing="1" w:line="240" w:lineRule="auto"/>
      </w:pPr>
      <w:r w:rsidRPr="00361EED">
        <w:t>The appellant’s brief must clearly articulate the legal basis for the appeal, citing relevant statutes, case law, and constitutional provisions. The appellee’s brief will counter these arguments and defend the trial court’s decision.</w:t>
      </w:r>
    </w:p>
    <w:p w:rsidR="00361EED" w:rsidRPr="00361EED" w:rsidRDefault="00361EED" w:rsidP="00C210D6">
      <w:pPr>
        <w:numPr>
          <w:ilvl w:val="0"/>
          <w:numId w:val="7"/>
        </w:numPr>
        <w:spacing w:before="100" w:beforeAutospacing="1" w:after="100" w:afterAutospacing="1" w:line="240" w:lineRule="auto"/>
      </w:pPr>
      <w:r w:rsidRPr="00361EED">
        <w:rPr>
          <w:b/>
          <w:bCs/>
        </w:rPr>
        <w:t>Precedent</w:t>
      </w:r>
      <w:r w:rsidRPr="00361EED">
        <w:t>:</w:t>
      </w:r>
    </w:p>
    <w:p w:rsidR="00361EED" w:rsidRPr="00361EED" w:rsidRDefault="00361EED" w:rsidP="00C210D6">
      <w:pPr>
        <w:numPr>
          <w:ilvl w:val="1"/>
          <w:numId w:val="7"/>
        </w:numPr>
        <w:spacing w:before="100" w:beforeAutospacing="1" w:after="100" w:afterAutospacing="1" w:line="240" w:lineRule="auto"/>
      </w:pPr>
      <w:r w:rsidRPr="00361EED">
        <w:t>Texas appellate courts are bound by precedent from higher courts (e.g., Texas Supreme Court, U.S. Supreme Court) and must follow prior decisions from their own court (stare decisis). Analyzing how precedent applies to the case is critical.</w:t>
      </w:r>
    </w:p>
    <w:p w:rsidR="00361EED" w:rsidRPr="00361EED" w:rsidRDefault="00361EED" w:rsidP="00C210D6">
      <w:pPr>
        <w:numPr>
          <w:ilvl w:val="0"/>
          <w:numId w:val="7"/>
        </w:numPr>
        <w:spacing w:before="100" w:beforeAutospacing="1" w:after="100" w:afterAutospacing="1" w:line="240" w:lineRule="auto"/>
      </w:pPr>
      <w:r w:rsidRPr="00361EED">
        <w:rPr>
          <w:b/>
          <w:bCs/>
        </w:rPr>
        <w:t>Potential Outcomes</w:t>
      </w:r>
      <w:r w:rsidRPr="00361EED">
        <w:t>:</w:t>
      </w:r>
    </w:p>
    <w:p w:rsidR="00361EED" w:rsidRPr="00361EED" w:rsidRDefault="00361EED" w:rsidP="00C210D6">
      <w:pPr>
        <w:numPr>
          <w:ilvl w:val="1"/>
          <w:numId w:val="7"/>
        </w:numPr>
        <w:spacing w:before="100" w:beforeAutospacing="1" w:after="100" w:afterAutospacing="1" w:line="240" w:lineRule="auto"/>
      </w:pPr>
      <w:r w:rsidRPr="00361EED">
        <w:t>The appellate court may affirm the trial court’s decision, reverse it, or remand the case for further proceedings. Understanding the practical implications of each outcome is important for the parties involved.</w:t>
      </w:r>
    </w:p>
    <w:p w:rsidR="00361EED" w:rsidRPr="00361EED" w:rsidRDefault="00361EED" w:rsidP="00C210D6">
      <w:pPr>
        <w:numPr>
          <w:ilvl w:val="0"/>
          <w:numId w:val="5"/>
        </w:numPr>
        <w:spacing w:before="100" w:beforeAutospacing="1" w:after="100" w:afterAutospacing="1" w:line="240" w:lineRule="auto"/>
        <w:ind w:left="0" w:firstLine="0"/>
        <w:outlineLvl w:val="2"/>
        <w:rPr>
          <w:b/>
          <w:bCs/>
          <w:sz w:val="27"/>
          <w:szCs w:val="27"/>
        </w:rPr>
      </w:pPr>
      <w:r w:rsidRPr="00361EED">
        <w:rPr>
          <w:b/>
          <w:bCs/>
          <w:sz w:val="27"/>
          <w:szCs w:val="27"/>
        </w:rPr>
        <w:t>Example Analysis (Hypothetical Case)</w:t>
      </w:r>
    </w:p>
    <w:p w:rsidR="00361EED" w:rsidRPr="00361EED" w:rsidRDefault="00361EED" w:rsidP="00361EED">
      <w:pPr>
        <w:spacing w:before="100" w:beforeAutospacing="1" w:after="100" w:afterAutospacing="1" w:line="240" w:lineRule="auto"/>
        <w:ind w:firstLine="0"/>
      </w:pPr>
      <w:r w:rsidRPr="00361EED">
        <w:t>Suppose a Texas trial court granted summary judgment in favor of a defendant in a breach of contract case. The plaintiff appeals, arguing that the trial court erred in applying the statute of limitations.</w:t>
      </w:r>
    </w:p>
    <w:p w:rsidR="00361EED" w:rsidRPr="00361EED" w:rsidRDefault="00361EED" w:rsidP="00C210D6">
      <w:pPr>
        <w:numPr>
          <w:ilvl w:val="0"/>
          <w:numId w:val="8"/>
        </w:numPr>
        <w:spacing w:before="100" w:beforeAutospacing="1" w:after="100" w:afterAutospacing="1" w:line="240" w:lineRule="auto"/>
      </w:pPr>
      <w:r w:rsidRPr="00361EED">
        <w:rPr>
          <w:b/>
          <w:bCs/>
        </w:rPr>
        <w:t>Standard of Review</w:t>
      </w:r>
      <w:r w:rsidRPr="00361EED">
        <w:t>: The appellate court would apply a de novo standard to the trial court’s interpretation of the statute of limitations, as it is a legal question.</w:t>
      </w:r>
    </w:p>
    <w:p w:rsidR="00361EED" w:rsidRPr="00361EED" w:rsidRDefault="00361EED" w:rsidP="00C210D6">
      <w:pPr>
        <w:numPr>
          <w:ilvl w:val="0"/>
          <w:numId w:val="8"/>
        </w:numPr>
        <w:spacing w:before="100" w:beforeAutospacing="1" w:after="100" w:afterAutospacing="1" w:line="240" w:lineRule="auto"/>
      </w:pPr>
      <w:r w:rsidRPr="00361EED">
        <w:rPr>
          <w:b/>
          <w:bCs/>
        </w:rPr>
        <w:t>Preservation of Error</w:t>
      </w:r>
      <w:r w:rsidRPr="00361EED">
        <w:t>: The plaintiff must have raised the statute of limitations issue in the trial court, either in response to the defendant’s motion for summary judgment or in a separate filing.</w:t>
      </w:r>
    </w:p>
    <w:p w:rsidR="00361EED" w:rsidRPr="00361EED" w:rsidRDefault="00361EED" w:rsidP="00C210D6">
      <w:pPr>
        <w:numPr>
          <w:ilvl w:val="0"/>
          <w:numId w:val="8"/>
        </w:numPr>
        <w:spacing w:before="100" w:beforeAutospacing="1" w:after="100" w:afterAutospacing="1" w:line="240" w:lineRule="auto"/>
      </w:pPr>
      <w:r w:rsidRPr="00361EED">
        <w:rPr>
          <w:b/>
          <w:bCs/>
        </w:rPr>
        <w:t>Legal Arguments</w:t>
      </w:r>
      <w:r w:rsidRPr="00361EED">
        <w:t>:</w:t>
      </w:r>
    </w:p>
    <w:p w:rsidR="00361EED" w:rsidRPr="00361EED" w:rsidRDefault="00361EED" w:rsidP="00C210D6">
      <w:pPr>
        <w:numPr>
          <w:ilvl w:val="1"/>
          <w:numId w:val="8"/>
        </w:numPr>
        <w:spacing w:before="100" w:beforeAutospacing="1" w:after="100" w:afterAutospacing="1" w:line="240" w:lineRule="auto"/>
      </w:pPr>
      <w:r w:rsidRPr="00361EED">
        <w:t>The plaintiff argues that the statute of limitations was tolled due to the defendant’s fraudulent concealment, citing Texas Civil Practice and Remedies Code § 16.003(a) and relevant case law.</w:t>
      </w:r>
    </w:p>
    <w:p w:rsidR="00361EED" w:rsidRPr="00361EED" w:rsidRDefault="00361EED" w:rsidP="00C210D6">
      <w:pPr>
        <w:numPr>
          <w:ilvl w:val="1"/>
          <w:numId w:val="8"/>
        </w:numPr>
        <w:spacing w:before="100" w:beforeAutospacing="1" w:after="100" w:afterAutospacing="1" w:line="240" w:lineRule="auto"/>
      </w:pPr>
      <w:r w:rsidRPr="00361EED">
        <w:t>The defendant counters that the plaintiff failed to present sufficient evidence of fraudulent concealment and that the statute of limitations expired before the lawsuit was filed.</w:t>
      </w:r>
    </w:p>
    <w:p w:rsidR="00361EED" w:rsidRPr="00361EED" w:rsidRDefault="00361EED" w:rsidP="00C210D6">
      <w:pPr>
        <w:numPr>
          <w:ilvl w:val="0"/>
          <w:numId w:val="8"/>
        </w:numPr>
        <w:spacing w:before="100" w:beforeAutospacing="1" w:after="100" w:afterAutospacing="1" w:line="240" w:lineRule="auto"/>
      </w:pPr>
      <w:r w:rsidRPr="00361EED">
        <w:rPr>
          <w:b/>
          <w:bCs/>
        </w:rPr>
        <w:t>Precedent</w:t>
      </w:r>
      <w:r w:rsidRPr="00361EED">
        <w:t>: The appellate court would review prior cases interpreting the statute of limitations and fraudulent concealment to determine if the trial court’s decision aligns with established law.</w:t>
      </w:r>
    </w:p>
    <w:p w:rsidR="00361EED" w:rsidRPr="00361EED" w:rsidRDefault="00361EED" w:rsidP="00C210D6">
      <w:pPr>
        <w:numPr>
          <w:ilvl w:val="0"/>
          <w:numId w:val="8"/>
        </w:numPr>
        <w:spacing w:before="100" w:beforeAutospacing="1" w:after="100" w:afterAutospacing="1" w:line="240" w:lineRule="auto"/>
      </w:pPr>
      <w:r w:rsidRPr="00361EED">
        <w:rPr>
          <w:b/>
          <w:bCs/>
        </w:rPr>
        <w:lastRenderedPageBreak/>
        <w:t>Outcome</w:t>
      </w:r>
      <w:r w:rsidRPr="00361EED">
        <w:t>: If the appellate court finds that the trial court misapplied the law, it may reverse the summary judgment and remand the case for trial. If it agrees with the trial court, it will affirm the decision.</w:t>
      </w:r>
    </w:p>
    <w:p w:rsidR="00361EED" w:rsidRPr="00361EED" w:rsidRDefault="00361EED" w:rsidP="00361EED">
      <w:pPr>
        <w:spacing w:before="100" w:beforeAutospacing="1" w:after="100" w:afterAutospacing="1" w:line="240" w:lineRule="auto"/>
        <w:ind w:firstLine="0"/>
      </w:pPr>
      <w:r w:rsidRPr="00361EED">
        <w:t>If you provide more details about the specific appeal you are analyzing, I can offer a more tailored analysis.</w:t>
      </w:r>
    </w:p>
    <w:p w:rsidR="00361EED" w:rsidRPr="00361EED" w:rsidRDefault="00361EED" w:rsidP="00361EED">
      <w:pPr>
        <w:spacing w:before="0" w:after="0" w:line="240" w:lineRule="auto"/>
        <w:ind w:firstLine="0"/>
      </w:pPr>
      <w:r w:rsidRPr="00361EED">
        <w:t>2023-06-30 Appellants Opening Brief No. 01-23-00362-CV.pdf</w:t>
      </w:r>
    </w:p>
    <w:p w:rsidR="00361EED" w:rsidRPr="00361EED" w:rsidRDefault="00361EED" w:rsidP="00361EED">
      <w:pPr>
        <w:spacing w:before="0" w:after="0" w:line="240" w:lineRule="auto"/>
        <w:ind w:firstLine="0"/>
      </w:pPr>
      <w:r w:rsidRPr="00361EED">
        <w:t>PDF 564.98KB</w:t>
      </w:r>
    </w:p>
    <w:p w:rsidR="00361EED" w:rsidRPr="00361EED" w:rsidRDefault="00361EED" w:rsidP="00361EED">
      <w:pPr>
        <w:spacing w:before="0" w:after="0" w:line="240" w:lineRule="auto"/>
        <w:ind w:firstLine="0"/>
      </w:pPr>
      <w:r w:rsidRPr="00361EED">
        <w:t>Can you provide me with an analysis of this appeal?</w:t>
      </w:r>
    </w:p>
    <w:p w:rsidR="00361EED" w:rsidRPr="00361EED" w:rsidRDefault="00361EED" w:rsidP="00361EED">
      <w:pPr>
        <w:spacing w:before="100" w:beforeAutospacing="1" w:after="100" w:afterAutospacing="1" w:line="240" w:lineRule="auto"/>
        <w:ind w:firstLine="0"/>
      </w:pPr>
      <w:r w:rsidRPr="00361EED">
        <w:t xml:space="preserve">This appeal, </w:t>
      </w:r>
      <w:r w:rsidRPr="00361EED">
        <w:rPr>
          <w:b/>
          <w:bCs/>
        </w:rPr>
        <w:t>Candace Louise Curtis v. Carl Henry Brunsting, et al.</w:t>
      </w:r>
      <w:r w:rsidRPr="00361EED">
        <w:t>, involves complex jurisdictional and procedural issues arising from a dispute over a family trust and the administration of estates. Below is a detailed analysis of the key legal and procedural aspects of the appeal:</w:t>
      </w:r>
    </w:p>
    <w:p w:rsidR="00361EED" w:rsidRPr="00361EED" w:rsidRDefault="00361EED" w:rsidP="00361EED">
      <w:pPr>
        <w:spacing w:before="0" w:after="0" w:line="240" w:lineRule="auto"/>
        <w:ind w:firstLine="0"/>
      </w:pPr>
      <w:r w:rsidRPr="00361EED">
        <w:pict>
          <v:rect id="_x0000_i1025" style="width:0;height:1.5pt" o:hralign="center" o:hrstd="t" o:hr="t" fillcolor="#a0a0a0" stroked="f"/>
        </w:pict>
      </w:r>
    </w:p>
    <w:p w:rsidR="00361EED" w:rsidRPr="00361EED" w:rsidRDefault="00361EED" w:rsidP="00C210D6">
      <w:pPr>
        <w:numPr>
          <w:ilvl w:val="0"/>
          <w:numId w:val="5"/>
        </w:numPr>
        <w:spacing w:before="100" w:beforeAutospacing="1" w:after="100" w:afterAutospacing="1" w:line="240" w:lineRule="auto"/>
        <w:ind w:left="0" w:firstLine="0"/>
        <w:outlineLvl w:val="2"/>
        <w:rPr>
          <w:b/>
          <w:bCs/>
          <w:sz w:val="27"/>
          <w:szCs w:val="27"/>
        </w:rPr>
      </w:pPr>
      <w:r w:rsidRPr="00361EED">
        <w:rPr>
          <w:b/>
          <w:bCs/>
          <w:sz w:val="27"/>
          <w:szCs w:val="27"/>
        </w:rPr>
        <w:t>1. Overview of the Case</w:t>
      </w:r>
    </w:p>
    <w:p w:rsidR="00361EED" w:rsidRPr="00361EED" w:rsidRDefault="00361EED" w:rsidP="00C210D6">
      <w:pPr>
        <w:numPr>
          <w:ilvl w:val="0"/>
          <w:numId w:val="9"/>
        </w:numPr>
        <w:spacing w:before="100" w:beforeAutospacing="1" w:after="100" w:afterAutospacing="1" w:line="240" w:lineRule="auto"/>
      </w:pPr>
      <w:r w:rsidRPr="00361EED">
        <w:rPr>
          <w:b/>
          <w:bCs/>
        </w:rPr>
        <w:t>Appellant</w:t>
      </w:r>
      <w:r w:rsidRPr="00361EED">
        <w:t>: Candace Louise Curtis, a beneficiary of the Brunsting Family Survivor’s and Decedent’s Trusts.</w:t>
      </w:r>
    </w:p>
    <w:p w:rsidR="00361EED" w:rsidRPr="00361EED" w:rsidRDefault="00361EED" w:rsidP="00C210D6">
      <w:pPr>
        <w:numPr>
          <w:ilvl w:val="0"/>
          <w:numId w:val="9"/>
        </w:numPr>
        <w:spacing w:before="100" w:beforeAutospacing="1" w:after="100" w:afterAutospacing="1" w:line="240" w:lineRule="auto"/>
      </w:pPr>
      <w:r w:rsidRPr="00361EED">
        <w:rPr>
          <w:b/>
          <w:bCs/>
        </w:rPr>
        <w:t>Appellees</w:t>
      </w:r>
      <w:r w:rsidRPr="00361EED">
        <w:t>: Carl Henry Brunsting (individually and as Independent Executor of the estates of Elmer H. Brunsting and Nelva E. Brunsting), Anita Brunsting, Amy Brunsting, and Carole Ann Brunsting.</w:t>
      </w:r>
    </w:p>
    <w:p w:rsidR="00361EED" w:rsidRPr="00361EED" w:rsidRDefault="00361EED" w:rsidP="00C210D6">
      <w:pPr>
        <w:numPr>
          <w:ilvl w:val="0"/>
          <w:numId w:val="9"/>
        </w:numPr>
        <w:spacing w:before="100" w:beforeAutospacing="1" w:after="100" w:afterAutospacing="1" w:line="240" w:lineRule="auto"/>
      </w:pPr>
      <w:r w:rsidRPr="00361EED">
        <w:rPr>
          <w:b/>
          <w:bCs/>
        </w:rPr>
        <w:t>Trial Court</w:t>
      </w:r>
      <w:r w:rsidRPr="00361EED">
        <w:t>: Harris County Probate Court No. 4.</w:t>
      </w:r>
    </w:p>
    <w:p w:rsidR="00361EED" w:rsidRPr="00361EED" w:rsidRDefault="00361EED" w:rsidP="00C210D6">
      <w:pPr>
        <w:numPr>
          <w:ilvl w:val="0"/>
          <w:numId w:val="9"/>
        </w:numPr>
        <w:spacing w:before="100" w:beforeAutospacing="1" w:after="100" w:afterAutospacing="1" w:line="240" w:lineRule="auto"/>
      </w:pPr>
      <w:r w:rsidRPr="00361EED">
        <w:rPr>
          <w:b/>
          <w:bCs/>
        </w:rPr>
        <w:t>Appeal</w:t>
      </w:r>
      <w:r w:rsidRPr="00361EED">
        <w:t>: From orders and judgments entered by the probate court, including the denial of a plea to the jurisdiction and the granting of summary judgment in favor of Appellees.</w:t>
      </w:r>
    </w:p>
    <w:p w:rsidR="00361EED" w:rsidRPr="00361EED" w:rsidRDefault="00361EED" w:rsidP="00361EED">
      <w:pPr>
        <w:spacing w:before="100" w:beforeAutospacing="1" w:after="100" w:afterAutospacing="1" w:line="240" w:lineRule="auto"/>
        <w:ind w:firstLine="0"/>
      </w:pPr>
      <w:r w:rsidRPr="00361EED">
        <w:t>The core issue is whether the probate court had subject-matter jurisdiction over the dispute, which primarily involves a trust and not the probate of an estate. The Appellant argues that the probate court lacked jurisdiction because the claims do not qualify as "probate proceedings" or "matters related to a probate proceeding" under the Texas Estates Code.</w:t>
      </w:r>
    </w:p>
    <w:p w:rsidR="00361EED" w:rsidRPr="00361EED" w:rsidRDefault="00361EED" w:rsidP="00361EED">
      <w:pPr>
        <w:spacing w:before="0" w:after="0" w:line="240" w:lineRule="auto"/>
        <w:ind w:firstLine="0"/>
      </w:pPr>
      <w:r w:rsidRPr="00361EED">
        <w:pict>
          <v:rect id="_x0000_i1026" style="width:0;height:1.5pt" o:hralign="center" o:hrstd="t" o:hr="t" fillcolor="#a0a0a0" stroked="f"/>
        </w:pict>
      </w:r>
    </w:p>
    <w:p w:rsidR="00361EED" w:rsidRPr="00361EED" w:rsidRDefault="00361EED" w:rsidP="00C210D6">
      <w:pPr>
        <w:numPr>
          <w:ilvl w:val="0"/>
          <w:numId w:val="5"/>
        </w:numPr>
        <w:spacing w:before="100" w:beforeAutospacing="1" w:after="100" w:afterAutospacing="1" w:line="240" w:lineRule="auto"/>
        <w:ind w:left="0" w:firstLine="0"/>
        <w:outlineLvl w:val="2"/>
        <w:rPr>
          <w:b/>
          <w:bCs/>
          <w:sz w:val="27"/>
          <w:szCs w:val="27"/>
        </w:rPr>
      </w:pPr>
      <w:r w:rsidRPr="00361EED">
        <w:rPr>
          <w:b/>
          <w:bCs/>
          <w:sz w:val="27"/>
          <w:szCs w:val="27"/>
        </w:rPr>
        <w:t>2. Key Legal Issues</w:t>
      </w:r>
    </w:p>
    <w:p w:rsidR="00361EED" w:rsidRPr="00361EED" w:rsidRDefault="00361EED" w:rsidP="00361EED">
      <w:pPr>
        <w:spacing w:before="100" w:beforeAutospacing="1" w:after="100" w:afterAutospacing="1" w:line="240" w:lineRule="auto"/>
        <w:ind w:firstLine="0"/>
        <w:outlineLvl w:val="3"/>
        <w:rPr>
          <w:b/>
          <w:bCs/>
        </w:rPr>
      </w:pPr>
      <w:r w:rsidRPr="00361EED">
        <w:rPr>
          <w:b/>
          <w:bCs/>
        </w:rPr>
        <w:t>A. Subject-Matter Jurisdiction</w:t>
      </w:r>
    </w:p>
    <w:p w:rsidR="00361EED" w:rsidRPr="00361EED" w:rsidRDefault="00361EED" w:rsidP="00C210D6">
      <w:pPr>
        <w:numPr>
          <w:ilvl w:val="0"/>
          <w:numId w:val="10"/>
        </w:numPr>
        <w:spacing w:before="100" w:beforeAutospacing="1" w:after="100" w:afterAutospacing="1" w:line="240" w:lineRule="auto"/>
      </w:pPr>
      <w:r w:rsidRPr="00361EED">
        <w:rPr>
          <w:b/>
          <w:bCs/>
        </w:rPr>
        <w:t>Appellant’s Argument</w:t>
      </w:r>
      <w:r w:rsidRPr="00361EED">
        <w:t xml:space="preserve">: The probate court lacked jurisdiction because the dispute involves a </w:t>
      </w:r>
      <w:r w:rsidRPr="00361EED">
        <w:rPr>
          <w:b/>
          <w:bCs/>
        </w:rPr>
        <w:t>living trust</w:t>
      </w:r>
      <w:r w:rsidRPr="00361EED">
        <w:t xml:space="preserve"> and not the probate of an estate. The claims were originally filed </w:t>
      </w:r>
      <w:r w:rsidRPr="00361EED">
        <w:lastRenderedPageBreak/>
        <w:t>in federal court under diversity jurisdiction and were improperly transferred to the probate court. The Appellant contends that the probate court’s jurisdiction is limited to probate proceedings and matters related to probate, as defined by the Texas Estates Code.</w:t>
      </w:r>
    </w:p>
    <w:p w:rsidR="00361EED" w:rsidRPr="00361EED" w:rsidRDefault="00361EED" w:rsidP="00C210D6">
      <w:pPr>
        <w:numPr>
          <w:ilvl w:val="1"/>
          <w:numId w:val="10"/>
        </w:numPr>
        <w:spacing w:before="100" w:beforeAutospacing="1" w:after="100" w:afterAutospacing="1" w:line="240" w:lineRule="auto"/>
      </w:pPr>
      <w:r w:rsidRPr="00361EED">
        <w:rPr>
          <w:b/>
          <w:bCs/>
        </w:rPr>
        <w:t>Texas Estates Code § 31.001</w:t>
      </w:r>
      <w:r w:rsidRPr="00361EED">
        <w:t>: Defines "probate proceeding" as including matters like the probate of a will, administration of an estate, and claims arising from estate administration.</w:t>
      </w:r>
    </w:p>
    <w:p w:rsidR="00361EED" w:rsidRPr="00361EED" w:rsidRDefault="00361EED" w:rsidP="00C210D6">
      <w:pPr>
        <w:numPr>
          <w:ilvl w:val="1"/>
          <w:numId w:val="10"/>
        </w:numPr>
        <w:spacing w:before="100" w:beforeAutospacing="1" w:after="100" w:afterAutospacing="1" w:line="240" w:lineRule="auto"/>
      </w:pPr>
      <w:r w:rsidRPr="00361EED">
        <w:rPr>
          <w:b/>
          <w:bCs/>
        </w:rPr>
        <w:t>Texas Estates Code § 31.002</w:t>
      </w:r>
      <w:r w:rsidRPr="00361EED">
        <w:t>: Defines "matters related to a probate proceeding" as including actions involving personal representatives of an estate.</w:t>
      </w:r>
    </w:p>
    <w:p w:rsidR="00361EED" w:rsidRPr="00361EED" w:rsidRDefault="00361EED" w:rsidP="00C210D6">
      <w:pPr>
        <w:numPr>
          <w:ilvl w:val="1"/>
          <w:numId w:val="10"/>
        </w:numPr>
        <w:spacing w:before="100" w:beforeAutospacing="1" w:after="100" w:afterAutospacing="1" w:line="240" w:lineRule="auto"/>
      </w:pPr>
      <w:r w:rsidRPr="00361EED">
        <w:rPr>
          <w:b/>
          <w:bCs/>
        </w:rPr>
        <w:t>Appellant’s Position</w:t>
      </w:r>
      <w:r w:rsidRPr="00361EED">
        <w:t>: None of the claims in Carl Brunsting’s original petition (e.g., breach of fiduciary duty, constructive trust, injunctive relief) qualify as probate proceedings or matters related to probate. The estate had already been closed, and the trust is governed by the Texas Trust Code, which grants exclusive jurisdiction to district courts over trust-related matters.</w:t>
      </w:r>
    </w:p>
    <w:p w:rsidR="00361EED" w:rsidRPr="00361EED" w:rsidRDefault="00361EED" w:rsidP="00C210D6">
      <w:pPr>
        <w:numPr>
          <w:ilvl w:val="0"/>
          <w:numId w:val="10"/>
        </w:numPr>
        <w:spacing w:before="100" w:beforeAutospacing="1" w:after="100" w:afterAutospacing="1" w:line="240" w:lineRule="auto"/>
      </w:pPr>
      <w:r w:rsidRPr="00361EED">
        <w:rPr>
          <w:b/>
          <w:bCs/>
        </w:rPr>
        <w:t>Appellees’ Likely Argument</w:t>
      </w:r>
      <w:r w:rsidRPr="00361EED">
        <w:t>: The probate court had jurisdiction because the trust was created under a pour-over will, and the dispute involves assets that were part of the estate. The probate court has ancillary jurisdiction over matters related to the estate, including trust disputes.</w:t>
      </w:r>
    </w:p>
    <w:p w:rsidR="00361EED" w:rsidRPr="00361EED" w:rsidRDefault="00361EED" w:rsidP="00361EED">
      <w:pPr>
        <w:spacing w:before="100" w:beforeAutospacing="1" w:after="100" w:afterAutospacing="1" w:line="240" w:lineRule="auto"/>
        <w:ind w:firstLine="0"/>
        <w:outlineLvl w:val="3"/>
        <w:rPr>
          <w:b/>
          <w:bCs/>
        </w:rPr>
      </w:pPr>
      <w:r w:rsidRPr="00361EED">
        <w:rPr>
          <w:b/>
          <w:bCs/>
        </w:rPr>
        <w:t>B. Standing</w:t>
      </w:r>
    </w:p>
    <w:p w:rsidR="00361EED" w:rsidRPr="00361EED" w:rsidRDefault="00361EED" w:rsidP="00C210D6">
      <w:pPr>
        <w:numPr>
          <w:ilvl w:val="0"/>
          <w:numId w:val="11"/>
        </w:numPr>
        <w:spacing w:before="100" w:beforeAutospacing="1" w:after="100" w:afterAutospacing="1" w:line="240" w:lineRule="auto"/>
      </w:pPr>
      <w:r w:rsidRPr="00361EED">
        <w:rPr>
          <w:b/>
          <w:bCs/>
        </w:rPr>
        <w:t>Appellant’s Argument</w:t>
      </w:r>
      <w:r w:rsidRPr="00361EED">
        <w:t>: Carl Brunsting, in his individual capacity, lacks standing to bring claims in the probate court because he is not an heir, devisee, or creditor of the estate. His claims are personal and relate to his rights as a beneficiary of the trust, not as a representative of the estate.</w:t>
      </w:r>
    </w:p>
    <w:p w:rsidR="00361EED" w:rsidRPr="00361EED" w:rsidRDefault="00361EED" w:rsidP="00C210D6">
      <w:pPr>
        <w:numPr>
          <w:ilvl w:val="1"/>
          <w:numId w:val="11"/>
        </w:numPr>
        <w:spacing w:before="100" w:beforeAutospacing="1" w:after="100" w:afterAutospacing="1" w:line="240" w:lineRule="auto"/>
      </w:pPr>
      <w:r w:rsidRPr="00361EED">
        <w:rPr>
          <w:b/>
          <w:bCs/>
        </w:rPr>
        <w:t>Texas Estates Code § 22.018</w:t>
      </w:r>
      <w:r w:rsidRPr="00361EED">
        <w:t>: Defines an "interested person" as someone with a property right in or claim against an estate.</w:t>
      </w:r>
    </w:p>
    <w:p w:rsidR="00361EED" w:rsidRPr="00361EED" w:rsidRDefault="00361EED" w:rsidP="00C210D6">
      <w:pPr>
        <w:numPr>
          <w:ilvl w:val="1"/>
          <w:numId w:val="11"/>
        </w:numPr>
        <w:spacing w:before="100" w:beforeAutospacing="1" w:after="100" w:afterAutospacing="1" w:line="240" w:lineRule="auto"/>
      </w:pPr>
      <w:r w:rsidRPr="00361EED">
        <w:rPr>
          <w:b/>
          <w:bCs/>
        </w:rPr>
        <w:t>Appellant’s Position</w:t>
      </w:r>
      <w:r w:rsidRPr="00361EED">
        <w:t>: Carl’s claims do not involve the estate but rather the trust, and he resigned as independent executor, further undermining his standing.</w:t>
      </w:r>
    </w:p>
    <w:p w:rsidR="00361EED" w:rsidRPr="00361EED" w:rsidRDefault="00361EED" w:rsidP="00361EED">
      <w:pPr>
        <w:spacing w:before="100" w:beforeAutospacing="1" w:after="100" w:afterAutospacing="1" w:line="240" w:lineRule="auto"/>
        <w:ind w:firstLine="0"/>
        <w:outlineLvl w:val="3"/>
        <w:rPr>
          <w:b/>
          <w:bCs/>
        </w:rPr>
      </w:pPr>
      <w:r w:rsidRPr="00361EED">
        <w:rPr>
          <w:b/>
          <w:bCs/>
        </w:rPr>
        <w:t>C. Procedural Issues</w:t>
      </w:r>
    </w:p>
    <w:p w:rsidR="00361EED" w:rsidRPr="00361EED" w:rsidRDefault="00361EED" w:rsidP="00C210D6">
      <w:pPr>
        <w:numPr>
          <w:ilvl w:val="0"/>
          <w:numId w:val="12"/>
        </w:numPr>
        <w:spacing w:before="100" w:beforeAutospacing="1" w:after="100" w:afterAutospacing="1" w:line="240" w:lineRule="auto"/>
      </w:pPr>
      <w:r w:rsidRPr="00361EED">
        <w:rPr>
          <w:b/>
          <w:bCs/>
        </w:rPr>
        <w:t>Improper Transfer from Federal Court</w:t>
      </w:r>
      <w:r w:rsidRPr="00361EED">
        <w:t>: The Appellant argues that the federal case was improperly transferred to the probate court. The federal court had no authority to transfer the case to a state court under 28 U.S.C. § 1404, and the probate court had no jurisdiction to accept the transfer.</w:t>
      </w:r>
    </w:p>
    <w:p w:rsidR="00361EED" w:rsidRPr="00361EED" w:rsidRDefault="00361EED" w:rsidP="00C210D6">
      <w:pPr>
        <w:numPr>
          <w:ilvl w:val="1"/>
          <w:numId w:val="12"/>
        </w:numPr>
        <w:spacing w:before="100" w:beforeAutospacing="1" w:after="100" w:afterAutospacing="1" w:line="240" w:lineRule="auto"/>
      </w:pPr>
      <w:r w:rsidRPr="00361EED">
        <w:rPr>
          <w:b/>
          <w:bCs/>
        </w:rPr>
        <w:t>Remand vs. Transfer</w:t>
      </w:r>
      <w:r w:rsidRPr="00361EED">
        <w:t>: The Appellant contends that the federal case was never properly remanded or transferred to the probate court, and the probate court’s orders are void for lack of jurisdiction.</w:t>
      </w:r>
    </w:p>
    <w:p w:rsidR="00361EED" w:rsidRPr="00361EED" w:rsidRDefault="00361EED" w:rsidP="00C210D6">
      <w:pPr>
        <w:numPr>
          <w:ilvl w:val="0"/>
          <w:numId w:val="12"/>
        </w:numPr>
        <w:spacing w:before="100" w:beforeAutospacing="1" w:after="100" w:afterAutospacing="1" w:line="240" w:lineRule="auto"/>
      </w:pPr>
      <w:r w:rsidRPr="00361EED">
        <w:rPr>
          <w:b/>
          <w:bCs/>
        </w:rPr>
        <w:t>Summary Judgment</w:t>
      </w:r>
      <w:r w:rsidRPr="00361EED">
        <w:t>: The Appellant challenges the probate court’s grant of summary judgment, arguing that the court lacked jurisdiction to rule on the merits of the claims. The Appellant also disputes the validity of the summary judgment, as it was based on untimely counterclaims and improper procedural maneuvers.</w:t>
      </w:r>
    </w:p>
    <w:p w:rsidR="00361EED" w:rsidRPr="00361EED" w:rsidRDefault="00361EED" w:rsidP="00361EED">
      <w:pPr>
        <w:spacing w:before="0" w:after="0" w:line="240" w:lineRule="auto"/>
        <w:ind w:firstLine="0"/>
      </w:pPr>
      <w:r w:rsidRPr="00361EED">
        <w:lastRenderedPageBreak/>
        <w:pict>
          <v:rect id="_x0000_i1027" style="width:0;height:1.5pt" o:hralign="center" o:hrstd="t" o:hr="t" fillcolor="#a0a0a0" stroked="f"/>
        </w:pict>
      </w:r>
    </w:p>
    <w:p w:rsidR="00361EED" w:rsidRPr="00361EED" w:rsidRDefault="00361EED" w:rsidP="00C210D6">
      <w:pPr>
        <w:numPr>
          <w:ilvl w:val="0"/>
          <w:numId w:val="5"/>
        </w:numPr>
        <w:spacing w:before="100" w:beforeAutospacing="1" w:after="100" w:afterAutospacing="1" w:line="240" w:lineRule="auto"/>
        <w:ind w:left="0" w:firstLine="0"/>
        <w:outlineLvl w:val="2"/>
        <w:rPr>
          <w:b/>
          <w:bCs/>
          <w:sz w:val="27"/>
          <w:szCs w:val="27"/>
        </w:rPr>
      </w:pPr>
      <w:r w:rsidRPr="00361EED">
        <w:rPr>
          <w:b/>
          <w:bCs/>
          <w:sz w:val="27"/>
          <w:szCs w:val="27"/>
        </w:rPr>
        <w:t>3. Standard of Review</w:t>
      </w:r>
    </w:p>
    <w:p w:rsidR="00361EED" w:rsidRPr="00361EED" w:rsidRDefault="00361EED" w:rsidP="00C210D6">
      <w:pPr>
        <w:numPr>
          <w:ilvl w:val="0"/>
          <w:numId w:val="13"/>
        </w:numPr>
        <w:spacing w:before="100" w:beforeAutospacing="1" w:after="100" w:afterAutospacing="1" w:line="240" w:lineRule="auto"/>
      </w:pPr>
      <w:r w:rsidRPr="00361EED">
        <w:rPr>
          <w:b/>
          <w:bCs/>
        </w:rPr>
        <w:t>De Novo Review</w:t>
      </w:r>
      <w:r w:rsidRPr="00361EED">
        <w:t>: The appellate court will review the trial court’s jurisdictional rulings de novo, meaning it will independently evaluate whether the probate court had subject-matter jurisdiction.</w:t>
      </w:r>
    </w:p>
    <w:p w:rsidR="00361EED" w:rsidRPr="00361EED" w:rsidRDefault="00361EED" w:rsidP="00C210D6">
      <w:pPr>
        <w:numPr>
          <w:ilvl w:val="0"/>
          <w:numId w:val="13"/>
        </w:numPr>
        <w:spacing w:before="100" w:beforeAutospacing="1" w:after="100" w:afterAutospacing="1" w:line="240" w:lineRule="auto"/>
      </w:pPr>
      <w:r w:rsidRPr="00361EED">
        <w:rPr>
          <w:b/>
          <w:bCs/>
        </w:rPr>
        <w:t>Burden of Proof</w:t>
      </w:r>
      <w:r w:rsidRPr="00361EED">
        <w:t>: The Appellant bears the burden of proving that the probate court lacked jurisdiction. The court will look to the substance of the claims, not just their form, to determine whether they fall within the probate court’s jurisdiction.</w:t>
      </w:r>
    </w:p>
    <w:p w:rsidR="00361EED" w:rsidRPr="00361EED" w:rsidRDefault="00361EED" w:rsidP="00361EED">
      <w:pPr>
        <w:spacing w:before="0" w:after="0" w:line="240" w:lineRule="auto"/>
        <w:ind w:firstLine="0"/>
      </w:pPr>
      <w:r w:rsidRPr="00361EED">
        <w:pict>
          <v:rect id="_x0000_i1028" style="width:0;height:1.5pt" o:hralign="center" o:hrstd="t" o:hr="t" fillcolor="#a0a0a0" stroked="f"/>
        </w:pict>
      </w:r>
    </w:p>
    <w:p w:rsidR="00361EED" w:rsidRPr="00361EED" w:rsidRDefault="00361EED" w:rsidP="00C210D6">
      <w:pPr>
        <w:numPr>
          <w:ilvl w:val="0"/>
          <w:numId w:val="5"/>
        </w:numPr>
        <w:spacing w:before="100" w:beforeAutospacing="1" w:after="100" w:afterAutospacing="1" w:line="240" w:lineRule="auto"/>
        <w:ind w:left="0" w:firstLine="0"/>
        <w:outlineLvl w:val="2"/>
        <w:rPr>
          <w:b/>
          <w:bCs/>
          <w:sz w:val="27"/>
          <w:szCs w:val="27"/>
        </w:rPr>
      </w:pPr>
      <w:r w:rsidRPr="00361EED">
        <w:rPr>
          <w:b/>
          <w:bCs/>
          <w:sz w:val="27"/>
          <w:szCs w:val="27"/>
        </w:rPr>
        <w:t>4. Analysis of Key Arguments</w:t>
      </w:r>
    </w:p>
    <w:p w:rsidR="00361EED" w:rsidRPr="00361EED" w:rsidRDefault="00361EED" w:rsidP="00361EED">
      <w:pPr>
        <w:spacing w:before="100" w:beforeAutospacing="1" w:after="100" w:afterAutospacing="1" w:line="240" w:lineRule="auto"/>
        <w:ind w:firstLine="0"/>
        <w:outlineLvl w:val="3"/>
        <w:rPr>
          <w:b/>
          <w:bCs/>
        </w:rPr>
      </w:pPr>
      <w:r w:rsidRPr="00361EED">
        <w:rPr>
          <w:b/>
          <w:bCs/>
        </w:rPr>
        <w:t>A. Probate Court Jurisdiction</w:t>
      </w:r>
    </w:p>
    <w:p w:rsidR="00361EED" w:rsidRPr="00361EED" w:rsidRDefault="00361EED" w:rsidP="00C210D6">
      <w:pPr>
        <w:numPr>
          <w:ilvl w:val="0"/>
          <w:numId w:val="14"/>
        </w:numPr>
        <w:spacing w:before="100" w:beforeAutospacing="1" w:after="100" w:afterAutospacing="1" w:line="240" w:lineRule="auto"/>
      </w:pPr>
      <w:r w:rsidRPr="00361EED">
        <w:t xml:space="preserve">The probate court’s jurisdiction is limited to probate proceedings and matters related to probate. The Appellant’s claims involve a </w:t>
      </w:r>
      <w:r w:rsidRPr="00361EED">
        <w:rPr>
          <w:b/>
          <w:bCs/>
        </w:rPr>
        <w:t>living trust</w:t>
      </w:r>
      <w:r w:rsidRPr="00361EED">
        <w:t xml:space="preserve">, which is governed by the Texas Trust Code, not the Texas Estates Code. The Texas Trust Code grants </w:t>
      </w:r>
      <w:r w:rsidRPr="00361EED">
        <w:rPr>
          <w:b/>
          <w:bCs/>
        </w:rPr>
        <w:t>exclusive jurisdiction</w:t>
      </w:r>
      <w:r w:rsidRPr="00361EED">
        <w:t xml:space="preserve"> to district courts over trust-related matters, except where jurisdiction is explicitly conferred on a statutory probate court.</w:t>
      </w:r>
    </w:p>
    <w:p w:rsidR="00361EED" w:rsidRPr="00361EED" w:rsidRDefault="00361EED" w:rsidP="00C210D6">
      <w:pPr>
        <w:numPr>
          <w:ilvl w:val="0"/>
          <w:numId w:val="14"/>
        </w:numPr>
        <w:spacing w:before="100" w:beforeAutospacing="1" w:after="100" w:afterAutospacing="1" w:line="240" w:lineRule="auto"/>
      </w:pPr>
      <w:r w:rsidRPr="00361EED">
        <w:t>The Appellant’s federal lawsuit was not a probate proceeding and was never properly transferred to the probate court. The probate court’s assertion of jurisdiction over the trust dispute appears to be improper.</w:t>
      </w:r>
    </w:p>
    <w:p w:rsidR="00361EED" w:rsidRPr="00361EED" w:rsidRDefault="00361EED" w:rsidP="00361EED">
      <w:pPr>
        <w:spacing w:before="100" w:beforeAutospacing="1" w:after="100" w:afterAutospacing="1" w:line="240" w:lineRule="auto"/>
        <w:ind w:firstLine="0"/>
        <w:outlineLvl w:val="3"/>
        <w:rPr>
          <w:b/>
          <w:bCs/>
        </w:rPr>
      </w:pPr>
      <w:r w:rsidRPr="00361EED">
        <w:rPr>
          <w:b/>
          <w:bCs/>
        </w:rPr>
        <w:t>B. Standing</w:t>
      </w:r>
    </w:p>
    <w:p w:rsidR="00361EED" w:rsidRPr="00361EED" w:rsidRDefault="00361EED" w:rsidP="00C210D6">
      <w:pPr>
        <w:numPr>
          <w:ilvl w:val="0"/>
          <w:numId w:val="15"/>
        </w:numPr>
        <w:spacing w:before="100" w:beforeAutospacing="1" w:after="100" w:afterAutospacing="1" w:line="240" w:lineRule="auto"/>
      </w:pPr>
      <w:r w:rsidRPr="00361EED">
        <w:t>Carl Brunsting’s claims are personal and relate to his rights as a beneficiary of the trust, not as a representative of the estate. His resignation as independent executor further weakens his standing to bring claims in the probate court. The probate court’s jurisdiction over the trust dispute is questionable, as the trust is not part of the estate.</w:t>
      </w:r>
    </w:p>
    <w:p w:rsidR="00361EED" w:rsidRPr="00361EED" w:rsidRDefault="00361EED" w:rsidP="00361EED">
      <w:pPr>
        <w:spacing w:before="100" w:beforeAutospacing="1" w:after="100" w:afterAutospacing="1" w:line="240" w:lineRule="auto"/>
        <w:ind w:firstLine="0"/>
        <w:outlineLvl w:val="3"/>
        <w:rPr>
          <w:b/>
          <w:bCs/>
        </w:rPr>
      </w:pPr>
      <w:r w:rsidRPr="00361EED">
        <w:rPr>
          <w:b/>
          <w:bCs/>
        </w:rPr>
        <w:t>C. Procedural Defects</w:t>
      </w:r>
    </w:p>
    <w:p w:rsidR="00361EED" w:rsidRPr="00361EED" w:rsidRDefault="00361EED" w:rsidP="00C210D6">
      <w:pPr>
        <w:numPr>
          <w:ilvl w:val="0"/>
          <w:numId w:val="16"/>
        </w:numPr>
        <w:spacing w:before="100" w:beforeAutospacing="1" w:after="100" w:afterAutospacing="1" w:line="240" w:lineRule="auto"/>
      </w:pPr>
      <w:r w:rsidRPr="00361EED">
        <w:t>The federal case was never properly remanded or transferred to the probate court. The probate court’s orders, including the summary judgment, are void for lack of jurisdiction. The Appellant’s plea to the jurisdiction should have been granted, and the case should have been dismissed.</w:t>
      </w:r>
    </w:p>
    <w:p w:rsidR="00361EED" w:rsidRPr="00361EED" w:rsidRDefault="00361EED" w:rsidP="00361EED">
      <w:pPr>
        <w:spacing w:before="0" w:after="0" w:line="240" w:lineRule="auto"/>
        <w:ind w:firstLine="0"/>
      </w:pPr>
      <w:r w:rsidRPr="00361EED">
        <w:pict>
          <v:rect id="_x0000_i1029" style="width:0;height:1.5pt" o:hralign="center" o:hrstd="t" o:hr="t" fillcolor="#a0a0a0" stroked="f"/>
        </w:pict>
      </w:r>
    </w:p>
    <w:p w:rsidR="00361EED" w:rsidRPr="00361EED" w:rsidRDefault="00361EED" w:rsidP="00C210D6">
      <w:pPr>
        <w:numPr>
          <w:ilvl w:val="0"/>
          <w:numId w:val="5"/>
        </w:numPr>
        <w:spacing w:before="100" w:beforeAutospacing="1" w:after="100" w:afterAutospacing="1" w:line="240" w:lineRule="auto"/>
        <w:ind w:left="0" w:firstLine="0"/>
        <w:outlineLvl w:val="2"/>
        <w:rPr>
          <w:b/>
          <w:bCs/>
          <w:sz w:val="27"/>
          <w:szCs w:val="27"/>
        </w:rPr>
      </w:pPr>
      <w:r w:rsidRPr="00361EED">
        <w:rPr>
          <w:b/>
          <w:bCs/>
          <w:sz w:val="27"/>
          <w:szCs w:val="27"/>
        </w:rPr>
        <w:lastRenderedPageBreak/>
        <w:t>5. Potential Outcomes</w:t>
      </w:r>
    </w:p>
    <w:p w:rsidR="00361EED" w:rsidRPr="00361EED" w:rsidRDefault="00361EED" w:rsidP="00C210D6">
      <w:pPr>
        <w:numPr>
          <w:ilvl w:val="0"/>
          <w:numId w:val="17"/>
        </w:numPr>
        <w:spacing w:before="100" w:beforeAutospacing="1" w:after="100" w:afterAutospacing="1" w:line="240" w:lineRule="auto"/>
      </w:pPr>
      <w:r w:rsidRPr="00361EED">
        <w:rPr>
          <w:b/>
          <w:bCs/>
        </w:rPr>
        <w:t>Reversal</w:t>
      </w:r>
      <w:r w:rsidRPr="00361EED">
        <w:t>: The appellate court could reverse the probate court’s orders, finding that the court lacked subject-matter jurisdiction over the trust dispute. The court could direct the probate court to vacate its orders and dismiss the case.</w:t>
      </w:r>
    </w:p>
    <w:p w:rsidR="00361EED" w:rsidRPr="00361EED" w:rsidRDefault="00361EED" w:rsidP="00C210D6">
      <w:pPr>
        <w:numPr>
          <w:ilvl w:val="0"/>
          <w:numId w:val="17"/>
        </w:numPr>
        <w:spacing w:before="100" w:beforeAutospacing="1" w:after="100" w:afterAutospacing="1" w:line="240" w:lineRule="auto"/>
      </w:pPr>
      <w:r w:rsidRPr="00361EED">
        <w:rPr>
          <w:b/>
          <w:bCs/>
        </w:rPr>
        <w:t>Affirmance</w:t>
      </w:r>
      <w:r w:rsidRPr="00361EED">
        <w:t>: The appellate court could affirm the probate court’s orders if it finds that the trust dispute is sufficiently related to the probate of the estate and falls within the probate court’s jurisdiction.</w:t>
      </w:r>
    </w:p>
    <w:p w:rsidR="00361EED" w:rsidRPr="00361EED" w:rsidRDefault="00361EED" w:rsidP="00361EED">
      <w:pPr>
        <w:spacing w:before="0" w:after="0" w:line="240" w:lineRule="auto"/>
        <w:ind w:firstLine="0"/>
      </w:pPr>
      <w:r w:rsidRPr="00361EED">
        <w:pict>
          <v:rect id="_x0000_i1030" style="width:0;height:1.5pt" o:hralign="center" o:hrstd="t" o:hr="t" fillcolor="#a0a0a0" stroked="f"/>
        </w:pict>
      </w:r>
    </w:p>
    <w:p w:rsidR="00361EED" w:rsidRPr="00361EED" w:rsidRDefault="00361EED" w:rsidP="00C210D6">
      <w:pPr>
        <w:numPr>
          <w:ilvl w:val="0"/>
          <w:numId w:val="5"/>
        </w:numPr>
        <w:spacing w:before="100" w:beforeAutospacing="1" w:after="100" w:afterAutospacing="1" w:line="240" w:lineRule="auto"/>
        <w:ind w:left="0" w:firstLine="0"/>
        <w:outlineLvl w:val="2"/>
        <w:rPr>
          <w:b/>
          <w:bCs/>
          <w:sz w:val="27"/>
          <w:szCs w:val="27"/>
        </w:rPr>
      </w:pPr>
      <w:r w:rsidRPr="00361EED">
        <w:rPr>
          <w:b/>
          <w:bCs/>
          <w:sz w:val="27"/>
          <w:szCs w:val="27"/>
        </w:rPr>
        <w:t>6. Conclusion</w:t>
      </w:r>
    </w:p>
    <w:p w:rsidR="00361EED" w:rsidRPr="00361EED" w:rsidRDefault="00361EED" w:rsidP="00361EED">
      <w:pPr>
        <w:spacing w:before="100" w:beforeAutospacing="1" w:after="100" w:afterAutospacing="1" w:line="240" w:lineRule="auto"/>
        <w:ind w:firstLine="0"/>
      </w:pPr>
      <w:r w:rsidRPr="00361EED">
        <w:t>The appeal raises significant questions about the boundaries of probate court jurisdiction and the proper forum for trust disputes. The Appellant’s arguments are strong, particularly regarding the probate court’s lack of jurisdiction over the trust dispute and the improper transfer of the federal case. If the appellate court agrees that the probate court lacked jurisdiction, it will likely reverse the probate court’s orders and dismiss the case.</w:t>
      </w:r>
    </w:p>
    <w:p w:rsidR="00361EED" w:rsidRPr="00361EED" w:rsidRDefault="00361EED" w:rsidP="00361EED">
      <w:pPr>
        <w:spacing w:before="100" w:beforeAutospacing="1" w:after="100" w:afterAutospacing="1" w:line="240" w:lineRule="auto"/>
        <w:ind w:firstLine="0"/>
      </w:pPr>
      <w:r w:rsidRPr="00361EED">
        <w:t>The case also highlights the complexity of probate and trust litigation in Texas, particularly when disputes involve both estates and trusts. The appellate court’s decision could provide important clarification on the jurisdictional boundaries of probate courts in trust-related matters.</w:t>
      </w:r>
    </w:p>
    <w:p w:rsidR="00D653E0" w:rsidRDefault="00D653E0"/>
    <w:sectPr w:rsidR="00D653E0" w:rsidSect="005C53E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ED" w:rsidRDefault="00361EED" w:rsidP="00361EED">
      <w:pPr>
        <w:spacing w:before="0" w:after="0" w:line="240" w:lineRule="auto"/>
      </w:pPr>
      <w:r>
        <w:separator/>
      </w:r>
    </w:p>
  </w:endnote>
  <w:endnote w:type="continuationSeparator" w:id="0">
    <w:p w:rsidR="00361EED" w:rsidRDefault="00361EED" w:rsidP="00361E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864662"/>
      <w:docPartObj>
        <w:docPartGallery w:val="Page Numbers (Bottom of Page)"/>
        <w:docPartUnique/>
      </w:docPartObj>
    </w:sdtPr>
    <w:sdtEndPr>
      <w:rPr>
        <w:noProof/>
      </w:rPr>
    </w:sdtEndPr>
    <w:sdtContent>
      <w:p w:rsidR="00361EED" w:rsidRDefault="00361EED">
        <w:pPr>
          <w:pStyle w:val="Footer"/>
          <w:jc w:val="right"/>
        </w:pPr>
        <w:r>
          <w:fldChar w:fldCharType="begin"/>
        </w:r>
        <w:r>
          <w:instrText xml:space="preserve"> PAGE   \* MERGEFORMAT </w:instrText>
        </w:r>
        <w:r>
          <w:fldChar w:fldCharType="separate"/>
        </w:r>
        <w:r w:rsidR="00C210D6">
          <w:rPr>
            <w:noProof/>
          </w:rPr>
          <w:t>1</w:t>
        </w:r>
        <w:r>
          <w:rPr>
            <w:noProof/>
          </w:rPr>
          <w:fldChar w:fldCharType="end"/>
        </w:r>
      </w:p>
    </w:sdtContent>
  </w:sdt>
  <w:p w:rsidR="00361EED" w:rsidRDefault="00361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ED" w:rsidRDefault="00361EED" w:rsidP="00361EED">
      <w:pPr>
        <w:spacing w:before="0" w:after="0" w:line="240" w:lineRule="auto"/>
      </w:pPr>
      <w:r>
        <w:separator/>
      </w:r>
    </w:p>
  </w:footnote>
  <w:footnote w:type="continuationSeparator" w:id="0">
    <w:p w:rsidR="00361EED" w:rsidRDefault="00361EED" w:rsidP="00361E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9BB"/>
    <w:multiLevelType w:val="multilevel"/>
    <w:tmpl w:val="826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3662A2"/>
    <w:multiLevelType w:val="multilevel"/>
    <w:tmpl w:val="7A4C40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10D18"/>
    <w:multiLevelType w:val="multilevel"/>
    <w:tmpl w:val="08DC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353A3"/>
    <w:multiLevelType w:val="multilevel"/>
    <w:tmpl w:val="C9B4B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309FE"/>
    <w:multiLevelType w:val="hybridMultilevel"/>
    <w:tmpl w:val="224E8106"/>
    <w:lvl w:ilvl="0" w:tplc="9000E7CE">
      <w:start w:val="1"/>
      <w:numFmt w:val="decimal"/>
      <w:pStyle w:val="Heading3"/>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32E3368"/>
    <w:multiLevelType w:val="multilevel"/>
    <w:tmpl w:val="C6DC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34AA5"/>
    <w:multiLevelType w:val="multilevel"/>
    <w:tmpl w:val="DFC2B0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C17089"/>
    <w:multiLevelType w:val="multilevel"/>
    <w:tmpl w:val="034E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0D24EE9"/>
    <w:multiLevelType w:val="multilevel"/>
    <w:tmpl w:val="FC4E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AC1F91"/>
    <w:multiLevelType w:val="multilevel"/>
    <w:tmpl w:val="84821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B61A3A"/>
    <w:multiLevelType w:val="multilevel"/>
    <w:tmpl w:val="ABE4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B96D74"/>
    <w:multiLevelType w:val="multilevel"/>
    <w:tmpl w:val="866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590D40"/>
    <w:multiLevelType w:val="multilevel"/>
    <w:tmpl w:val="F3E4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
  </w:num>
  <w:num w:numId="4">
    <w:abstractNumId w:val="5"/>
  </w:num>
  <w:num w:numId="5">
    <w:abstractNumId w:val="6"/>
  </w:num>
  <w:num w:numId="6">
    <w:abstractNumId w:val="9"/>
  </w:num>
  <w:num w:numId="7">
    <w:abstractNumId w:val="2"/>
  </w:num>
  <w:num w:numId="8">
    <w:abstractNumId w:val="4"/>
  </w:num>
  <w:num w:numId="9">
    <w:abstractNumId w:val="3"/>
  </w:num>
  <w:num w:numId="10">
    <w:abstractNumId w:val="12"/>
  </w:num>
  <w:num w:numId="11">
    <w:abstractNumId w:val="13"/>
  </w:num>
  <w:num w:numId="12">
    <w:abstractNumId w:val="10"/>
  </w:num>
  <w:num w:numId="13">
    <w:abstractNumId w:val="15"/>
  </w:num>
  <w:num w:numId="14">
    <w:abstractNumId w:val="16"/>
  </w:num>
  <w:num w:numId="15">
    <w:abstractNumId w:val="0"/>
  </w:num>
  <w:num w:numId="16">
    <w:abstractNumId w:val="14"/>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ED"/>
    <w:rsid w:val="00003545"/>
    <w:rsid w:val="0002109F"/>
    <w:rsid w:val="00091071"/>
    <w:rsid w:val="000D0E94"/>
    <w:rsid w:val="000F738F"/>
    <w:rsid w:val="00124D37"/>
    <w:rsid w:val="001A3F32"/>
    <w:rsid w:val="001D0B0A"/>
    <w:rsid w:val="001D6254"/>
    <w:rsid w:val="00222515"/>
    <w:rsid w:val="00237452"/>
    <w:rsid w:val="0024453E"/>
    <w:rsid w:val="002B0C9B"/>
    <w:rsid w:val="002F6C12"/>
    <w:rsid w:val="00361EED"/>
    <w:rsid w:val="003A6462"/>
    <w:rsid w:val="003F4B40"/>
    <w:rsid w:val="00424FE8"/>
    <w:rsid w:val="005073E6"/>
    <w:rsid w:val="005157AC"/>
    <w:rsid w:val="00537D5C"/>
    <w:rsid w:val="0055091F"/>
    <w:rsid w:val="005B4D26"/>
    <w:rsid w:val="005C4D87"/>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210D6"/>
    <w:rsid w:val="00C33529"/>
    <w:rsid w:val="00C42C11"/>
    <w:rsid w:val="00C67045"/>
    <w:rsid w:val="00CB15BE"/>
    <w:rsid w:val="00CB2AE0"/>
    <w:rsid w:val="00D46133"/>
    <w:rsid w:val="00D653E0"/>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361E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5"/>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
      </w:numPr>
    </w:pPr>
  </w:style>
  <w:style w:type="character" w:customStyle="1" w:styleId="BulletChar">
    <w:name w:val="Bullet Char"/>
    <w:basedOn w:val="NumPara1Char"/>
    <w:link w:val="Bullet"/>
    <w:rsid w:val="002F6C12"/>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cs="Times New Roman"/>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361E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9088">
      <w:bodyDiv w:val="1"/>
      <w:marLeft w:val="0"/>
      <w:marRight w:val="0"/>
      <w:marTop w:val="0"/>
      <w:marBottom w:val="0"/>
      <w:divBdr>
        <w:top w:val="none" w:sz="0" w:space="0" w:color="auto"/>
        <w:left w:val="none" w:sz="0" w:space="0" w:color="auto"/>
        <w:bottom w:val="none" w:sz="0" w:space="0" w:color="auto"/>
        <w:right w:val="none" w:sz="0" w:space="0" w:color="auto"/>
      </w:divBdr>
      <w:divsChild>
        <w:div w:id="788933829">
          <w:marLeft w:val="0"/>
          <w:marRight w:val="0"/>
          <w:marTop w:val="0"/>
          <w:marBottom w:val="0"/>
          <w:divBdr>
            <w:top w:val="none" w:sz="0" w:space="0" w:color="auto"/>
            <w:left w:val="none" w:sz="0" w:space="0" w:color="auto"/>
            <w:bottom w:val="none" w:sz="0" w:space="0" w:color="auto"/>
            <w:right w:val="none" w:sz="0" w:space="0" w:color="auto"/>
          </w:divBdr>
        </w:div>
        <w:div w:id="440104854">
          <w:marLeft w:val="0"/>
          <w:marRight w:val="-225"/>
          <w:marTop w:val="0"/>
          <w:marBottom w:val="0"/>
          <w:divBdr>
            <w:top w:val="none" w:sz="0" w:space="0" w:color="auto"/>
            <w:left w:val="none" w:sz="0" w:space="0" w:color="auto"/>
            <w:bottom w:val="none" w:sz="0" w:space="0" w:color="auto"/>
            <w:right w:val="none" w:sz="0" w:space="0" w:color="auto"/>
          </w:divBdr>
          <w:divsChild>
            <w:div w:id="1601910919">
              <w:marLeft w:val="0"/>
              <w:marRight w:val="0"/>
              <w:marTop w:val="0"/>
              <w:marBottom w:val="0"/>
              <w:divBdr>
                <w:top w:val="none" w:sz="0" w:space="0" w:color="auto"/>
                <w:left w:val="none" w:sz="0" w:space="0" w:color="auto"/>
                <w:bottom w:val="none" w:sz="0" w:space="0" w:color="auto"/>
                <w:right w:val="none" w:sz="0" w:space="0" w:color="auto"/>
              </w:divBdr>
              <w:divsChild>
                <w:div w:id="1980501018">
                  <w:marLeft w:val="0"/>
                  <w:marRight w:val="0"/>
                  <w:marTop w:val="0"/>
                  <w:marBottom w:val="0"/>
                  <w:divBdr>
                    <w:top w:val="none" w:sz="0" w:space="0" w:color="auto"/>
                    <w:left w:val="none" w:sz="0" w:space="0" w:color="auto"/>
                    <w:bottom w:val="none" w:sz="0" w:space="0" w:color="auto"/>
                    <w:right w:val="none" w:sz="0" w:space="0" w:color="auto"/>
                  </w:divBdr>
                  <w:divsChild>
                    <w:div w:id="709108845">
                      <w:marLeft w:val="0"/>
                      <w:marRight w:val="0"/>
                      <w:marTop w:val="0"/>
                      <w:marBottom w:val="0"/>
                      <w:divBdr>
                        <w:top w:val="none" w:sz="0" w:space="0" w:color="auto"/>
                        <w:left w:val="none" w:sz="0" w:space="0" w:color="auto"/>
                        <w:bottom w:val="none" w:sz="0" w:space="0" w:color="auto"/>
                        <w:right w:val="none" w:sz="0" w:space="0" w:color="auto"/>
                      </w:divBdr>
                      <w:divsChild>
                        <w:div w:id="151221844">
                          <w:marLeft w:val="0"/>
                          <w:marRight w:val="0"/>
                          <w:marTop w:val="0"/>
                          <w:marBottom w:val="0"/>
                          <w:divBdr>
                            <w:top w:val="none" w:sz="0" w:space="0" w:color="auto"/>
                            <w:left w:val="none" w:sz="0" w:space="0" w:color="auto"/>
                            <w:bottom w:val="none" w:sz="0" w:space="0" w:color="auto"/>
                            <w:right w:val="none" w:sz="0" w:space="0" w:color="auto"/>
                          </w:divBdr>
                        </w:div>
                        <w:div w:id="2934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21365">
          <w:marLeft w:val="0"/>
          <w:marRight w:val="0"/>
          <w:marTop w:val="0"/>
          <w:marBottom w:val="0"/>
          <w:divBdr>
            <w:top w:val="none" w:sz="0" w:space="0" w:color="auto"/>
            <w:left w:val="none" w:sz="0" w:space="0" w:color="auto"/>
            <w:bottom w:val="none" w:sz="0" w:space="0" w:color="auto"/>
            <w:right w:val="none" w:sz="0" w:space="0" w:color="auto"/>
          </w:divBdr>
          <w:divsChild>
            <w:div w:id="1795054238">
              <w:marLeft w:val="0"/>
              <w:marRight w:val="0"/>
              <w:marTop w:val="0"/>
              <w:marBottom w:val="0"/>
              <w:divBdr>
                <w:top w:val="none" w:sz="0" w:space="0" w:color="auto"/>
                <w:left w:val="none" w:sz="0" w:space="0" w:color="auto"/>
                <w:bottom w:val="none" w:sz="0" w:space="0" w:color="auto"/>
                <w:right w:val="none" w:sz="0" w:space="0" w:color="auto"/>
              </w:divBdr>
            </w:div>
          </w:divsChild>
        </w:div>
        <w:div w:id="101726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1821</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General Overview of the Appellate Process in Texas</vt:lpstr>
      <vt:lpstr>        Key Considerations for Analyzing an Appeal</vt:lpstr>
      <vt:lpstr>        Example Analysis (Hypothetical Case)</vt:lpstr>
      <vt:lpstr>        1. Overview of the Case</vt:lpstr>
      <vt:lpstr>        2. Key Legal Issues</vt:lpstr>
      <vt:lpstr>        3. Standard of Review</vt:lpstr>
      <vt:lpstr>        4. Analysis of Key Arguments</vt:lpstr>
      <vt:lpstr>        5. Potential Outcomes</vt:lpstr>
      <vt:lpstr>        6. Conclusion</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1</cp:revision>
  <cp:lastPrinted>2025-03-02T20:23:00Z</cp:lastPrinted>
  <dcterms:created xsi:type="dcterms:W3CDTF">2025-03-02T20:21:00Z</dcterms:created>
  <dcterms:modified xsi:type="dcterms:W3CDTF">2025-03-02T20:40:00Z</dcterms:modified>
</cp:coreProperties>
</file>