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E332" w14:textId="253CF637" w:rsidR="00EA3FF6" w:rsidRPr="00570A84" w:rsidRDefault="00EA3FF6" w:rsidP="00570A84">
      <w:pPr>
        <w:pStyle w:val="Heading1"/>
      </w:pPr>
      <w:r w:rsidRPr="00570A84">
        <w:t>Title IX Property Code</w:t>
      </w:r>
    </w:p>
    <w:p w14:paraId="5193FA8C" w14:textId="11FC9365" w:rsidR="00D64B8D" w:rsidRDefault="00EA3FF6" w:rsidP="00570A84">
      <w:pPr>
        <w:pStyle w:val="Heading2"/>
      </w:pPr>
      <w:r w:rsidRPr="00BE0BF3">
        <w:t xml:space="preserve">Sec. </w:t>
      </w:r>
      <w:r w:rsidR="00570A84" w:rsidRPr="00BE0BF3">
        <w:t xml:space="preserve">101.002 </w:t>
      </w:r>
      <w:r w:rsidR="00570A84">
        <w:t>The</w:t>
      </w:r>
      <w:r w:rsidRPr="00EA3FF6">
        <w:t xml:space="preserve"> trust property is not liable to satisfy the personal obligations of the trustee</w:t>
      </w:r>
      <w:r>
        <w:t>.</w:t>
      </w:r>
    </w:p>
    <w:p w14:paraId="770BBCA0" w14:textId="14EAE93C" w:rsidR="00385384" w:rsidRDefault="00385384" w:rsidP="00385384">
      <w:r>
        <w:t>Distributions to pay Mendel’s fees were a violation of basic trust law. Anita caused litigation to be brought by failing to establish and maintain books and records of accounts and refusing or otherwise failing to provide the beneficiary with a full, true and complete accounting as required by the terms of the trust and upon receipt of a request from a current beneficial property owner.</w:t>
      </w:r>
    </w:p>
    <w:p w14:paraId="6A14D088" w14:textId="77777777" w:rsidR="00BD34B3" w:rsidRDefault="00BD34B3" w:rsidP="00BD34B3">
      <w:pPr>
        <w:pStyle w:val="Heading2"/>
      </w:pPr>
      <w:r>
        <w:t>Sec.</w:t>
      </w:r>
      <w:r>
        <w:rPr>
          <w:color w:val="FFFFFF"/>
        </w:rPr>
        <w:t>A</w:t>
      </w:r>
      <w:r>
        <w:t>111.004.</w:t>
      </w:r>
      <w:r>
        <w:t xml:space="preserve"> </w:t>
      </w:r>
      <w:r>
        <w:t xml:space="preserve">DEFINITIONS </w:t>
      </w:r>
    </w:p>
    <w:p w14:paraId="13025BBF" w14:textId="5852585D" w:rsidR="00BD34B3" w:rsidRDefault="00BD34B3" w:rsidP="00BD34B3">
      <w:pPr>
        <w:pStyle w:val="Heading2"/>
      </w:pPr>
      <w:r>
        <w:t>In this subtitle:</w:t>
      </w:r>
    </w:p>
    <w:p w14:paraId="3C9E4FFB" w14:textId="659E42BF" w:rsidR="00BD34B3" w:rsidRPr="00385384" w:rsidRDefault="00BD34B3" w:rsidP="00BD34B3">
      <w:pPr>
        <w:pStyle w:val="Quote"/>
      </w:pPr>
      <w:r w:rsidRPr="00BD34B3">
        <w:t>(7)</w:t>
      </w:r>
      <w:r>
        <w:t xml:space="preserve"> </w:t>
      </w:r>
      <w:r w:rsidRPr="00BD34B3">
        <w:t>"Interested person" means a trustee, beneficiary</w:t>
      </w:r>
      <w:r>
        <w:t xml:space="preserve">, </w:t>
      </w:r>
      <w:r>
        <w:t>or any other person having an interest in or a claim against the</w:t>
      </w:r>
      <w:r>
        <w:t xml:space="preserve"> </w:t>
      </w:r>
      <w:r>
        <w:t>trust or any person who is affected by the administration of the</w:t>
      </w:r>
      <w:r>
        <w:t xml:space="preserve"> </w:t>
      </w:r>
      <w:r>
        <w:t>trust. Whether a person, excluding a trustee or named beneficiary,</w:t>
      </w:r>
      <w:r>
        <w:t xml:space="preserve"> </w:t>
      </w:r>
      <w:r>
        <w:t>is an interested person may vary from time to time and must be</w:t>
      </w:r>
      <w:r>
        <w:t xml:space="preserve"> </w:t>
      </w:r>
      <w:r>
        <w:t>determined according to the particular purposes of and matter</w:t>
      </w:r>
      <w:r>
        <w:t xml:space="preserve"> </w:t>
      </w:r>
      <w:r>
        <w:t>involved in any proceeding.</w:t>
      </w:r>
    </w:p>
    <w:p w14:paraId="42A5775E" w14:textId="77007809" w:rsidR="00EA3FF6" w:rsidRDefault="00EA3FF6" w:rsidP="00570A84">
      <w:pPr>
        <w:pStyle w:val="Heading2"/>
      </w:pPr>
      <w:bookmarkStart w:id="0" w:name="_Hlk214872494"/>
      <w:r w:rsidRPr="00EA3FF6">
        <w:t>Sec.</w:t>
      </w:r>
      <w:r>
        <w:t xml:space="preserve"> </w:t>
      </w:r>
      <w:r w:rsidRPr="00EA3FF6">
        <w:t>112.034. MERGER</w:t>
      </w:r>
    </w:p>
    <w:p w14:paraId="6809EC13" w14:textId="5C669ED5" w:rsidR="00EA3FF6" w:rsidRDefault="00EA3FF6" w:rsidP="00BE0BF3">
      <w:pPr>
        <w:pStyle w:val="Quote"/>
      </w:pPr>
      <w:r>
        <w:t>(b) Except as provided by Subsection (c) of this section, a trust terminates if the legal title to the trust property and all equitable interests in the trust become united in one person.</w:t>
      </w:r>
    </w:p>
    <w:bookmarkEnd w:id="0"/>
    <w:p w14:paraId="67E844FE" w14:textId="7D9883BD" w:rsidR="00385384" w:rsidRPr="00385384" w:rsidRDefault="00385384" w:rsidP="00385384">
      <w:r>
        <w:t>Nelva had no plenary power to amend the family trust agreement.</w:t>
      </w:r>
    </w:p>
    <w:p w14:paraId="00BC54D1" w14:textId="77777777" w:rsidR="008C6366" w:rsidRDefault="008C6366" w:rsidP="008C6366">
      <w:pPr>
        <w:pStyle w:val="Heading2"/>
      </w:pPr>
      <w:r>
        <w:t>Sec. 112.032. ACTIVE AND PASSIVE TRUSTS; STATUTE OF USES</w:t>
      </w:r>
    </w:p>
    <w:p w14:paraId="540E8A60" w14:textId="77777777" w:rsidR="008C6366" w:rsidRDefault="008C6366" w:rsidP="008C6366">
      <w:pPr>
        <w:pStyle w:val="Quote"/>
      </w:pPr>
      <w:r>
        <w:t>(a) Except as provided by Subsection (b), title to real property</w:t>
      </w:r>
    </w:p>
    <w:p w14:paraId="4CDF6469" w14:textId="77777777" w:rsidR="008C6366" w:rsidRDefault="008C6366" w:rsidP="008C6366">
      <w:pPr>
        <w:pStyle w:val="Quote"/>
      </w:pPr>
      <w:r>
        <w:t>held in trust vests directly in the beneficiary if the trustee has</w:t>
      </w:r>
    </w:p>
    <w:p w14:paraId="311BE5CA" w14:textId="77777777" w:rsidR="008C6366" w:rsidRDefault="008C6366" w:rsidP="008C6366">
      <w:pPr>
        <w:pStyle w:val="Quote"/>
      </w:pPr>
      <w:r>
        <w:t>neither a power nor a duty related to the administration of the</w:t>
      </w:r>
    </w:p>
    <w:p w14:paraId="164B4177" w14:textId="77777777" w:rsidR="008C6366" w:rsidRDefault="008C6366" w:rsidP="008C6366">
      <w:pPr>
        <w:pStyle w:val="Quote"/>
      </w:pPr>
      <w:r>
        <w:t>trust.</w:t>
      </w:r>
    </w:p>
    <w:p w14:paraId="601B25DB" w14:textId="77777777" w:rsidR="008C6366" w:rsidRPr="00570A84" w:rsidRDefault="008C6366" w:rsidP="008C6366">
      <w:pPr>
        <w:pStyle w:val="Quote"/>
      </w:pPr>
      <w:r w:rsidRPr="00570A84">
        <w:t xml:space="preserve">The title of a trustee in real property is not divested </w:t>
      </w:r>
    </w:p>
    <w:p w14:paraId="0C88222C" w14:textId="77777777" w:rsidR="008C6366" w:rsidRDefault="008C6366" w:rsidP="008C6366">
      <w:pPr>
        <w:pStyle w:val="Quote"/>
      </w:pPr>
      <w:r>
        <w:t xml:space="preserve">if the trustee </w:t>
      </w:r>
      <w:r>
        <w:rPr>
          <w:sz w:val="21"/>
          <w:szCs w:val="21"/>
        </w:rPr>
        <w:t>’</w:t>
      </w:r>
      <w:r>
        <w:t>s title is not merely nominal but is subject to a power or duty in relation to the property.</w:t>
      </w:r>
    </w:p>
    <w:p w14:paraId="675BE374" w14:textId="03F92752" w:rsidR="00EA3FF6" w:rsidRDefault="00EA3FF6" w:rsidP="00570A84">
      <w:pPr>
        <w:pStyle w:val="Heading2"/>
      </w:pPr>
      <w:r w:rsidRPr="00EA3FF6">
        <w:t>Sec.</w:t>
      </w:r>
      <w:r>
        <w:t xml:space="preserve"> </w:t>
      </w:r>
      <w:r w:rsidRPr="00EA3FF6">
        <w:t>112.035.</w:t>
      </w:r>
      <w:r>
        <w:t xml:space="preserve"> </w:t>
      </w:r>
      <w:r w:rsidRPr="00EA3FF6">
        <w:t>SPENDTHRIFT TRUSTS</w:t>
      </w:r>
    </w:p>
    <w:p w14:paraId="1A60B880" w14:textId="53AA7CB4" w:rsidR="00EA3FF6" w:rsidRDefault="00EA3FF6" w:rsidP="00EA3FF6">
      <w:pPr>
        <w:pStyle w:val="Quote"/>
      </w:pPr>
      <w:r w:rsidRPr="00EA3FF6">
        <w:t xml:space="preserve">(a) A settlor may </w:t>
      </w:r>
      <w:r>
        <w:t xml:space="preserve">provide in the terms of the trust that the interest of a beneficiary in the income or in the principal or in both may not be voluntarily or involuntarily transferred before payment or delivery of the interest to the beneficiary by the </w:t>
      </w:r>
      <w:r>
        <w:lastRenderedPageBreak/>
        <w:t>trustee.</w:t>
      </w:r>
    </w:p>
    <w:p w14:paraId="4E7EE42D" w14:textId="558EB6A2" w:rsidR="004D4638" w:rsidRPr="004D4638" w:rsidRDefault="004D4638" w:rsidP="004D4638">
      <w:r>
        <w:t>Beneficiary distributions to the attorneys IOLTA accounts violated the spendthrift provisions</w:t>
      </w:r>
      <w:r w:rsidR="006B617C">
        <w:t xml:space="preserve"> (Article XI Section A)</w:t>
      </w:r>
      <w:r w:rsidR="00570A84">
        <w:t>.</w:t>
      </w:r>
    </w:p>
    <w:p w14:paraId="102BEC9C" w14:textId="3B1B2B68" w:rsidR="00EA3FF6" w:rsidRDefault="00EA3FF6" w:rsidP="00570A84">
      <w:pPr>
        <w:pStyle w:val="Heading2"/>
      </w:pPr>
      <w:r w:rsidRPr="00EA3FF6">
        <w:t>Sec. 112.038.</w:t>
      </w:r>
      <w:r>
        <w:t xml:space="preserve"> </w:t>
      </w:r>
      <w:r w:rsidRPr="00EA3FF6">
        <w:t>FORFEITURE CLAUSE</w:t>
      </w:r>
    </w:p>
    <w:p w14:paraId="50EE53BE" w14:textId="5F014D13" w:rsidR="00EA3FF6" w:rsidRDefault="00EA3FF6" w:rsidP="00570A84">
      <w:pPr>
        <w:pStyle w:val="Quote"/>
      </w:pPr>
      <w:r>
        <w:t xml:space="preserve">forfeiture clauses generally will not be construed to prevent a beneficiary from seeking to compel a fiduciary to perform the fiduciary </w:t>
      </w:r>
      <w:r>
        <w:rPr>
          <w:sz w:val="21"/>
          <w:szCs w:val="21"/>
        </w:rPr>
        <w:t>’</w:t>
      </w:r>
      <w:r>
        <w:t xml:space="preserve">s duties, seeking redress against a fiduciary for a breach of the fiduciary </w:t>
      </w:r>
      <w:r>
        <w:rPr>
          <w:sz w:val="21"/>
          <w:szCs w:val="21"/>
        </w:rPr>
        <w:t>’</w:t>
      </w:r>
      <w:r>
        <w:t>s duties, or seeking a judicial construction of a will or trust.</w:t>
      </w:r>
    </w:p>
    <w:p w14:paraId="10951865" w14:textId="77777777" w:rsidR="008C6366" w:rsidRDefault="008C6366" w:rsidP="008C6366">
      <w:pPr>
        <w:pStyle w:val="Heading2"/>
      </w:pPr>
      <w:bookmarkStart w:id="1" w:name="_Hlk214872414"/>
      <w:r>
        <w:t>Sec. 112.051. REVOCATION, MODIFICATION, OR AMENDMENT BY SETTLOR</w:t>
      </w:r>
    </w:p>
    <w:p w14:paraId="42D58254" w14:textId="77777777" w:rsidR="008C6366" w:rsidRDefault="008C6366" w:rsidP="008C6366">
      <w:pPr>
        <w:pStyle w:val="Quote"/>
        <w:numPr>
          <w:ilvl w:val="0"/>
          <w:numId w:val="10"/>
        </w:numPr>
      </w:pPr>
      <w:r>
        <w:t>A settlor may revoke the trust unless it is irrevocable by the express terms of the instrument creating it or of an instrument modifying it.</w:t>
      </w:r>
    </w:p>
    <w:bookmarkEnd w:id="1"/>
    <w:p w14:paraId="13F5ADBB" w14:textId="77777777" w:rsidR="008C6366" w:rsidRPr="00385384" w:rsidRDefault="008C6366" w:rsidP="008C6366">
      <w:r>
        <w:t>After Elmer was no longer able to sign legal documents, whether by incapacity or death, Nelva had no power to amend the family trust agreement without the approval of a court of appropriate jurisdiction. (Article III, Property Code 112.051)</w:t>
      </w:r>
    </w:p>
    <w:p w14:paraId="531690E9" w14:textId="77777777" w:rsidR="008C6366" w:rsidRDefault="008C6366" w:rsidP="008C6366">
      <w:pPr>
        <w:pStyle w:val="Heading2"/>
      </w:pPr>
      <w:r>
        <w:t xml:space="preserve">Sec. </w:t>
      </w:r>
      <w:r w:rsidRPr="00EA3FF6">
        <w:t>112.052.</w:t>
      </w:r>
      <w:r>
        <w:t xml:space="preserve"> </w:t>
      </w:r>
      <w:r w:rsidRPr="00EA3FF6">
        <w:t>TERMINATION</w:t>
      </w:r>
    </w:p>
    <w:p w14:paraId="23C21A68" w14:textId="77777777" w:rsidR="008C6366" w:rsidRDefault="008C6366" w:rsidP="008C6366">
      <w:pPr>
        <w:pStyle w:val="Quote"/>
      </w:pPr>
      <w:r>
        <w:t>A trust terminates if by its terms the trust is to continue only until the expiration of a certain period or until the happening of a certain event and the period of time has elapsed or the event has occurred.</w:t>
      </w:r>
    </w:p>
    <w:p w14:paraId="687BC080" w14:textId="77777777" w:rsidR="008C6366" w:rsidRPr="00385384" w:rsidRDefault="008C6366" w:rsidP="008C6366">
      <w:r>
        <w:t>The family trust terminated and all right, title and interest in trust property vested equally in the successor beneficiaries and were to be distributed to the beneficiaries free of trust at the passing of Nelva Brunsting November 11, 2011. (Article X)</w:t>
      </w:r>
    </w:p>
    <w:p w14:paraId="48F5DDDB" w14:textId="77777777" w:rsidR="00570A84" w:rsidRPr="00570A84" w:rsidRDefault="00570A84" w:rsidP="00570A84"/>
    <w:sectPr w:rsidR="00570A84" w:rsidRPr="00570A8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2A93" w14:textId="77777777" w:rsidR="00962AEB" w:rsidRDefault="00962AEB" w:rsidP="00E92451">
      <w:pPr>
        <w:spacing w:before="0" w:after="0" w:line="240" w:lineRule="auto"/>
      </w:pPr>
      <w:r>
        <w:separator/>
      </w:r>
    </w:p>
  </w:endnote>
  <w:endnote w:type="continuationSeparator" w:id="0">
    <w:p w14:paraId="588F6876" w14:textId="77777777" w:rsidR="00962AEB" w:rsidRDefault="00962AEB" w:rsidP="00E924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042415"/>
      <w:docPartObj>
        <w:docPartGallery w:val="Page Numbers (Bottom of Page)"/>
        <w:docPartUnique/>
      </w:docPartObj>
    </w:sdtPr>
    <w:sdtEndPr>
      <w:rPr>
        <w:noProof/>
      </w:rPr>
    </w:sdtEndPr>
    <w:sdtContent>
      <w:p w14:paraId="72995223" w14:textId="7CA896E1" w:rsidR="00E92451" w:rsidRDefault="00E924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F3AA3" w14:textId="77777777" w:rsidR="00E92451" w:rsidRDefault="00E92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4B260" w14:textId="77777777" w:rsidR="00962AEB" w:rsidRDefault="00962AEB" w:rsidP="00E92451">
      <w:pPr>
        <w:spacing w:before="0" w:after="0" w:line="240" w:lineRule="auto"/>
      </w:pPr>
      <w:r>
        <w:separator/>
      </w:r>
    </w:p>
  </w:footnote>
  <w:footnote w:type="continuationSeparator" w:id="0">
    <w:p w14:paraId="1E301188" w14:textId="77777777" w:rsidR="00962AEB" w:rsidRDefault="00962AEB" w:rsidP="00E9245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82B"/>
    <w:multiLevelType w:val="hybridMultilevel"/>
    <w:tmpl w:val="AC827188"/>
    <w:lvl w:ilvl="0" w:tplc="73D8C69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240F6"/>
    <w:multiLevelType w:val="hybridMultilevel"/>
    <w:tmpl w:val="C4267642"/>
    <w:lvl w:ilvl="0" w:tplc="CFA8DF7C">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EF7EBC"/>
    <w:multiLevelType w:val="hybridMultilevel"/>
    <w:tmpl w:val="157E0BCE"/>
    <w:lvl w:ilvl="0" w:tplc="C720C2FE">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1134F"/>
    <w:multiLevelType w:val="hybridMultilevel"/>
    <w:tmpl w:val="AC1C20D2"/>
    <w:lvl w:ilvl="0" w:tplc="A3C67A04">
      <w:start w:val="1"/>
      <w:numFmt w:val="upperRoman"/>
      <w:pStyle w:val="Heading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754AB"/>
    <w:multiLevelType w:val="multilevel"/>
    <w:tmpl w:val="B8201BF6"/>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59F050C"/>
    <w:multiLevelType w:val="hybridMultilevel"/>
    <w:tmpl w:val="087600DA"/>
    <w:lvl w:ilvl="0" w:tplc="45B8382E">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72A7ABC"/>
    <w:multiLevelType w:val="multilevel"/>
    <w:tmpl w:val="46904FB0"/>
    <w:lvl w:ilvl="0">
      <w:start w:val="1"/>
      <w:numFmt w:val="upperLetter"/>
      <w:lvlText w:val="%1."/>
      <w:lvlJc w:val="left"/>
      <w:pPr>
        <w:ind w:left="36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2E6073"/>
    <w:multiLevelType w:val="hybridMultilevel"/>
    <w:tmpl w:val="AD004932"/>
    <w:lvl w:ilvl="0" w:tplc="34DE6F8C">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3"/>
  </w:num>
  <w:num w:numId="3">
    <w:abstractNumId w:val="0"/>
  </w:num>
  <w:num w:numId="4">
    <w:abstractNumId w:val="7"/>
  </w:num>
  <w:num w:numId="5">
    <w:abstractNumId w:val="5"/>
  </w:num>
  <w:num w:numId="6">
    <w:abstractNumId w:val="5"/>
  </w:num>
  <w:num w:numId="7">
    <w:abstractNumId w:val="1"/>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F6"/>
    <w:rsid w:val="001A68B6"/>
    <w:rsid w:val="002650A3"/>
    <w:rsid w:val="00385384"/>
    <w:rsid w:val="0040300E"/>
    <w:rsid w:val="0049368F"/>
    <w:rsid w:val="004D4638"/>
    <w:rsid w:val="00532694"/>
    <w:rsid w:val="00570A84"/>
    <w:rsid w:val="006B617C"/>
    <w:rsid w:val="007176FC"/>
    <w:rsid w:val="00724188"/>
    <w:rsid w:val="00735F70"/>
    <w:rsid w:val="008C6366"/>
    <w:rsid w:val="00962AEB"/>
    <w:rsid w:val="00BD34B3"/>
    <w:rsid w:val="00BE0BF3"/>
    <w:rsid w:val="00D13CF1"/>
    <w:rsid w:val="00D64B8D"/>
    <w:rsid w:val="00D66328"/>
    <w:rsid w:val="00DB7A73"/>
    <w:rsid w:val="00E545E1"/>
    <w:rsid w:val="00E92451"/>
    <w:rsid w:val="00EA3FF6"/>
    <w:rsid w:val="00FA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0A8D"/>
  <w15:chartTrackingRefBased/>
  <w15:docId w15:val="{CD5BB89F-B47C-4F5E-8037-F3D22B07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F1"/>
    <w:pPr>
      <w:spacing w:before="120" w:after="240" w:line="480" w:lineRule="auto"/>
      <w:ind w:firstLine="720"/>
    </w:pPr>
    <w:rPr>
      <w:sz w:val="24"/>
    </w:rPr>
  </w:style>
  <w:style w:type="paragraph" w:styleId="Heading1">
    <w:name w:val="heading 1"/>
    <w:link w:val="Heading1Char"/>
    <w:autoRedefine/>
    <w:uiPriority w:val="9"/>
    <w:qFormat/>
    <w:rsid w:val="00570A84"/>
    <w:pPr>
      <w:outlineLvl w:val="0"/>
    </w:pPr>
    <w:rPr>
      <w:b/>
      <w:sz w:val="32"/>
      <w:szCs w:val="32"/>
    </w:rPr>
  </w:style>
  <w:style w:type="paragraph" w:styleId="Heading2">
    <w:name w:val="heading 2"/>
    <w:basedOn w:val="Normal"/>
    <w:next w:val="Normal"/>
    <w:link w:val="Heading2Char"/>
    <w:autoRedefine/>
    <w:uiPriority w:val="9"/>
    <w:unhideWhenUsed/>
    <w:qFormat/>
    <w:rsid w:val="00570A84"/>
    <w:pPr>
      <w:spacing w:after="120" w:line="240" w:lineRule="auto"/>
      <w:ind w:firstLine="0"/>
      <w:outlineLvl w:val="1"/>
    </w:pPr>
    <w:rPr>
      <w:b/>
      <w:bCs/>
      <w:sz w:val="28"/>
      <w:szCs w:val="28"/>
    </w:rPr>
  </w:style>
  <w:style w:type="paragraph" w:styleId="Heading3">
    <w:name w:val="heading 3"/>
    <w:basedOn w:val="Normal"/>
    <w:next w:val="Normal"/>
    <w:link w:val="Heading3Char"/>
    <w:autoRedefine/>
    <w:uiPriority w:val="9"/>
    <w:unhideWhenUsed/>
    <w:qFormat/>
    <w:rsid w:val="00FA6E21"/>
    <w:pPr>
      <w:numPr>
        <w:numId w:val="2"/>
      </w:numPr>
      <w:outlineLvl w:val="2"/>
    </w:pPr>
    <w:rPr>
      <w:b/>
    </w:rPr>
  </w:style>
  <w:style w:type="paragraph" w:styleId="Heading4">
    <w:name w:val="heading 4"/>
    <w:basedOn w:val="Normal"/>
    <w:next w:val="Normal"/>
    <w:link w:val="Heading4Char"/>
    <w:autoRedefine/>
    <w:uiPriority w:val="9"/>
    <w:unhideWhenUsed/>
    <w:qFormat/>
    <w:rsid w:val="00735F70"/>
    <w:pPr>
      <w:numPr>
        <w:numId w:val="9"/>
      </w:numPr>
      <w:spacing w:before="100" w:beforeAutospacing="1" w:after="100" w:afterAutospacing="1" w:line="240" w:lineRule="auto"/>
      <w:ind w:left="360" w:hanging="360"/>
      <w:outlineLvl w:val="3"/>
    </w:pPr>
    <w:rPr>
      <w:b/>
      <w:bCs/>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D13CF1"/>
    <w:pPr>
      <w:widowControl w:val="0"/>
      <w:spacing w:before="0" w:after="0" w:line="240" w:lineRule="auto"/>
      <w:ind w:left="720" w:right="720" w:firstLine="0"/>
      <w:jc w:val="both"/>
      <w:textboxTightWrap w:val="allLines"/>
    </w:pPr>
    <w:rPr>
      <w:i/>
      <w:iCs/>
      <w:color w:val="404040" w:themeColor="text1" w:themeTint="BF"/>
      <w:szCs w:val="24"/>
    </w:rPr>
  </w:style>
  <w:style w:type="character" w:customStyle="1" w:styleId="QuoteChar">
    <w:name w:val="Quote Char"/>
    <w:basedOn w:val="DefaultParagraphFont"/>
    <w:link w:val="Quote"/>
    <w:uiPriority w:val="29"/>
    <w:rsid w:val="00D13CF1"/>
    <w:rPr>
      <w:i/>
      <w:iCs/>
      <w:color w:val="404040" w:themeColor="text1" w:themeTint="BF"/>
      <w:sz w:val="24"/>
      <w:szCs w:val="24"/>
    </w:rPr>
  </w:style>
  <w:style w:type="paragraph" w:customStyle="1" w:styleId="Footnote">
    <w:name w:val="Footnote"/>
    <w:basedOn w:val="Normal"/>
    <w:link w:val="FootnoteChar"/>
    <w:autoRedefine/>
    <w:qFormat/>
    <w:rsid w:val="00735F70"/>
    <w:pPr>
      <w:spacing w:before="0" w:after="0" w:line="240" w:lineRule="auto"/>
      <w:ind w:firstLine="0"/>
    </w:pPr>
    <w:rPr>
      <w:sz w:val="20"/>
    </w:rPr>
  </w:style>
  <w:style w:type="character" w:customStyle="1" w:styleId="FootnoteChar">
    <w:name w:val="Footnote Char"/>
    <w:link w:val="Footnote"/>
    <w:rsid w:val="00735F70"/>
  </w:style>
  <w:style w:type="paragraph" w:styleId="FootnoteText">
    <w:name w:val="footnote text"/>
    <w:basedOn w:val="Normal"/>
    <w:link w:val="FootnoteTextChar"/>
    <w:uiPriority w:val="99"/>
    <w:semiHidden/>
    <w:unhideWhenUsed/>
    <w:rsid w:val="00FA6E21"/>
  </w:style>
  <w:style w:type="character" w:customStyle="1" w:styleId="FootnoteTextChar">
    <w:name w:val="Footnote Text Char"/>
    <w:basedOn w:val="DefaultParagraphFont"/>
    <w:link w:val="FootnoteText"/>
    <w:uiPriority w:val="99"/>
    <w:semiHidden/>
    <w:rsid w:val="00FA6E21"/>
    <w:rPr>
      <w:sz w:val="20"/>
      <w:szCs w:val="20"/>
    </w:rPr>
  </w:style>
  <w:style w:type="character" w:customStyle="1" w:styleId="Heading2Char">
    <w:name w:val="Heading 2 Char"/>
    <w:basedOn w:val="DefaultParagraphFont"/>
    <w:link w:val="Heading2"/>
    <w:uiPriority w:val="9"/>
    <w:rsid w:val="00570A84"/>
    <w:rPr>
      <w:b/>
      <w:bCs/>
      <w:sz w:val="28"/>
      <w:szCs w:val="28"/>
    </w:rPr>
  </w:style>
  <w:style w:type="paragraph" w:styleId="NoSpacing">
    <w:name w:val="No Spacing"/>
    <w:autoRedefine/>
    <w:uiPriority w:val="1"/>
    <w:qFormat/>
    <w:rsid w:val="00BE0BF3"/>
    <w:pPr>
      <w:spacing w:before="120" w:after="120"/>
    </w:pPr>
    <w:rPr>
      <w:b/>
      <w:bCs/>
      <w:sz w:val="24"/>
    </w:rPr>
  </w:style>
  <w:style w:type="character" w:customStyle="1" w:styleId="Heading3Char">
    <w:name w:val="Heading 3 Char"/>
    <w:basedOn w:val="DefaultParagraphFont"/>
    <w:link w:val="Heading3"/>
    <w:uiPriority w:val="9"/>
    <w:rsid w:val="00FA6E21"/>
    <w:rPr>
      <w:rFonts w:ascii="Times New Roman" w:eastAsia="Times New Roman" w:hAnsi="Times New Roman" w:cs="Times New Roman"/>
      <w:b/>
      <w:sz w:val="24"/>
      <w:szCs w:val="24"/>
    </w:rPr>
  </w:style>
  <w:style w:type="character" w:customStyle="1" w:styleId="Heading1Char">
    <w:name w:val="Heading 1 Char"/>
    <w:basedOn w:val="DefaultParagraphFont"/>
    <w:link w:val="Heading1"/>
    <w:uiPriority w:val="9"/>
    <w:rsid w:val="00570A84"/>
    <w:rPr>
      <w:b/>
      <w:sz w:val="32"/>
      <w:szCs w:val="32"/>
    </w:rPr>
  </w:style>
  <w:style w:type="character" w:customStyle="1" w:styleId="Heading4Char">
    <w:name w:val="Heading 4 Char"/>
    <w:basedOn w:val="DefaultParagraphFont"/>
    <w:link w:val="Heading4"/>
    <w:uiPriority w:val="9"/>
    <w:rsid w:val="00735F70"/>
    <w:rPr>
      <w:b/>
      <w:bCs/>
      <w:sz w:val="24"/>
      <w:szCs w:val="27"/>
    </w:rPr>
  </w:style>
  <w:style w:type="paragraph" w:styleId="ListParagraph">
    <w:name w:val="List Paragraph"/>
    <w:basedOn w:val="Normal"/>
    <w:uiPriority w:val="34"/>
    <w:qFormat/>
    <w:rsid w:val="004D4638"/>
    <w:pPr>
      <w:ind w:left="720"/>
      <w:contextualSpacing/>
    </w:pPr>
  </w:style>
  <w:style w:type="paragraph" w:styleId="Header">
    <w:name w:val="header"/>
    <w:basedOn w:val="Normal"/>
    <w:link w:val="HeaderChar"/>
    <w:uiPriority w:val="99"/>
    <w:unhideWhenUsed/>
    <w:rsid w:val="00E9245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92451"/>
    <w:rPr>
      <w:sz w:val="24"/>
    </w:rPr>
  </w:style>
  <w:style w:type="paragraph" w:styleId="Footer">
    <w:name w:val="footer"/>
    <w:basedOn w:val="Normal"/>
    <w:link w:val="FooterChar"/>
    <w:uiPriority w:val="99"/>
    <w:unhideWhenUsed/>
    <w:rsid w:val="00E9245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924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Cypher</dc:creator>
  <cp:keywords/>
  <dc:description/>
  <cp:lastModifiedBy>Luis Cypher</cp:lastModifiedBy>
  <cp:revision>3</cp:revision>
  <cp:lastPrinted>2025-11-15T17:40:00Z</cp:lastPrinted>
  <dcterms:created xsi:type="dcterms:W3CDTF">2025-11-22T22:17:00Z</dcterms:created>
  <dcterms:modified xsi:type="dcterms:W3CDTF">2025-11-25T05:49:00Z</dcterms:modified>
</cp:coreProperties>
</file>