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4BA8F" w14:textId="77777777" w:rsidR="00D347AA" w:rsidRPr="00D347AA" w:rsidRDefault="00D347AA" w:rsidP="00D347AA">
      <w:pPr>
        <w:spacing w:before="100" w:beforeAutospacing="1" w:after="100" w:afterAutospacing="1"/>
        <w:rPr>
          <w:sz w:val="24"/>
          <w:szCs w:val="24"/>
        </w:rPr>
      </w:pPr>
      <w:r w:rsidRPr="00D347AA">
        <w:rPr>
          <w:sz w:val="24"/>
          <w:szCs w:val="24"/>
        </w:rPr>
        <w:t>In this context, a party (the movant) essentially avers that the opposing party (the non-movant) lacks the evidence necessary to prove an essential element of their case, and therefore, no trial is needed. This implicates due process, which is satisfied by the procedural safeguards built into the summary judgment standard.</w:t>
      </w:r>
    </w:p>
    <w:p w14:paraId="7835D43E" w14:textId="77777777" w:rsidR="00D347AA" w:rsidRPr="00D347AA" w:rsidRDefault="00D347AA" w:rsidP="00D347AA">
      <w:pPr>
        <w:spacing w:before="100" w:beforeAutospacing="1" w:after="100" w:afterAutospacing="1"/>
        <w:rPr>
          <w:sz w:val="24"/>
          <w:szCs w:val="24"/>
        </w:rPr>
      </w:pPr>
      <w:r w:rsidRPr="00D347AA">
        <w:rPr>
          <w:sz w:val="24"/>
          <w:szCs w:val="24"/>
        </w:rPr>
        <w:t>Here is how one would proceed:</w:t>
      </w:r>
    </w:p>
    <w:p w14:paraId="441C35A0" w14:textId="77777777" w:rsidR="00D347AA" w:rsidRPr="00D347AA" w:rsidRDefault="00D347AA" w:rsidP="00D347AA">
      <w:pPr>
        <w:numPr>
          <w:ilvl w:val="0"/>
          <w:numId w:val="8"/>
        </w:numPr>
        <w:spacing w:before="100" w:beforeAutospacing="1" w:after="100" w:afterAutospacing="1"/>
        <w:rPr>
          <w:sz w:val="24"/>
          <w:szCs w:val="24"/>
        </w:rPr>
      </w:pPr>
      <w:r w:rsidRPr="00D347AA">
        <w:rPr>
          <w:b/>
          <w:bCs/>
          <w:sz w:val="24"/>
          <w:szCs w:val="24"/>
        </w:rPr>
        <w:t>File a Motion for Summary Judgment:</w:t>
      </w:r>
      <w:r w:rsidRPr="00D347AA">
        <w:rPr>
          <w:sz w:val="24"/>
          <w:szCs w:val="24"/>
        </w:rPr>
        <w:t xml:space="preserve"> The primary tool for this situation is a motion for summary judgment. The motion argues that there is "no genuine dispute as to any material fact and the movant is entitled to judgment as a matter of law."</w:t>
      </w:r>
    </w:p>
    <w:p w14:paraId="09421292" w14:textId="77777777" w:rsidR="00D347AA" w:rsidRPr="00D347AA" w:rsidRDefault="00D347AA" w:rsidP="00D347AA">
      <w:pPr>
        <w:numPr>
          <w:ilvl w:val="0"/>
          <w:numId w:val="8"/>
        </w:numPr>
        <w:spacing w:before="100" w:beforeAutospacing="1" w:after="100" w:afterAutospacing="1"/>
        <w:rPr>
          <w:sz w:val="24"/>
          <w:szCs w:val="24"/>
        </w:rPr>
      </w:pPr>
      <w:r w:rsidRPr="00D347AA">
        <w:rPr>
          <w:b/>
          <w:bCs/>
          <w:sz w:val="24"/>
          <w:szCs w:val="24"/>
        </w:rPr>
        <w:t>Assert the Absence of Evidence:</w:t>
      </w:r>
      <w:r w:rsidRPr="00D347AA">
        <w:rPr>
          <w:sz w:val="24"/>
          <w:szCs w:val="24"/>
        </w:rPr>
        <w:t xml:space="preserve"> The movant does not need to produce evidence of their own to </w:t>
      </w:r>
      <w:r w:rsidRPr="00D347AA">
        <w:rPr>
          <w:i/>
          <w:iCs/>
          <w:sz w:val="24"/>
          <w:szCs w:val="24"/>
        </w:rPr>
        <w:t>negate</w:t>
      </w:r>
      <w:r w:rsidRPr="00D347AA">
        <w:rPr>
          <w:sz w:val="24"/>
          <w:szCs w:val="24"/>
        </w:rPr>
        <w:t xml:space="preserve"> the opponent's claim. Instead, the movant can meet their initial burden by pointing out to the court the absence of evidence in the record to support the non-moving party's case [</w:t>
      </w:r>
      <w:hyperlink r:id="rId5" w:tgtFrame="_blank" w:history="1">
        <w:r w:rsidRPr="00D347AA">
          <w:rPr>
            <w:color w:val="0000FF"/>
            <w:sz w:val="24"/>
            <w:szCs w:val="24"/>
            <w:u w:val="single"/>
          </w:rPr>
          <w:t>Pierson v. Mrs. Fields Cookies</w:t>
        </w:r>
      </w:hyperlink>
      <w:r w:rsidRPr="00D347AA">
        <w:rPr>
          <w:sz w:val="24"/>
          <w:szCs w:val="24"/>
        </w:rPr>
        <w:t>]. This is the functional equivalent of a "specific negative averment" in this context. You would specifically identify an essential element of the opponent's claim (e.g., causation in a negligence case) and demonstrate that after discovery, the opponent has failed to produce any evidence to support that element.</w:t>
      </w:r>
    </w:p>
    <w:p w14:paraId="46CF1D8A" w14:textId="77777777" w:rsidR="00D347AA" w:rsidRPr="00D347AA" w:rsidRDefault="00D347AA" w:rsidP="00D347AA">
      <w:pPr>
        <w:numPr>
          <w:ilvl w:val="0"/>
          <w:numId w:val="8"/>
        </w:numPr>
        <w:spacing w:before="100" w:beforeAutospacing="1" w:after="100" w:afterAutospacing="1"/>
        <w:rPr>
          <w:sz w:val="24"/>
          <w:szCs w:val="24"/>
        </w:rPr>
      </w:pPr>
      <w:r w:rsidRPr="00D347AA">
        <w:rPr>
          <w:b/>
          <w:bCs/>
          <w:sz w:val="24"/>
          <w:szCs w:val="24"/>
        </w:rPr>
        <w:t>Shift the Burden:</w:t>
      </w:r>
      <w:r w:rsidRPr="00D347AA">
        <w:rPr>
          <w:sz w:val="24"/>
          <w:szCs w:val="24"/>
        </w:rPr>
        <w:t xml:space="preserve"> Once the movant has pointed to this absence of evidence, the burden of production shifts to the non-moving party [</w:t>
      </w:r>
      <w:hyperlink r:id="rId6" w:tgtFrame="_blank" w:history="1">
        <w:r w:rsidRPr="00D347AA">
          <w:rPr>
            <w:color w:val="0000FF"/>
            <w:sz w:val="24"/>
            <w:szCs w:val="24"/>
            <w:u w:val="single"/>
          </w:rPr>
          <w:t>Pierson v. Mrs. Fields Cookies</w:t>
        </w:r>
      </w:hyperlink>
      <w:r w:rsidRPr="00D347AA">
        <w:rPr>
          <w:sz w:val="24"/>
          <w:szCs w:val="24"/>
        </w:rPr>
        <w:t xml:space="preserve">]. To avoid having judgment entered against them, the non-movant must then come forward with specific evidence—such as affidavits, depositions, or documents—that shows there </w:t>
      </w:r>
      <w:r w:rsidRPr="00D347AA">
        <w:rPr>
          <w:i/>
          <w:iCs/>
          <w:sz w:val="24"/>
          <w:szCs w:val="24"/>
        </w:rPr>
        <w:t>is</w:t>
      </w:r>
      <w:r w:rsidRPr="00D347AA">
        <w:rPr>
          <w:sz w:val="24"/>
          <w:szCs w:val="24"/>
        </w:rPr>
        <w:t xml:space="preserve"> a genuine dispute of material fact that requires a trial.</w:t>
      </w:r>
    </w:p>
    <w:p w14:paraId="12AD214F" w14:textId="77777777" w:rsidR="00D347AA" w:rsidRPr="00D347AA" w:rsidRDefault="00D347AA" w:rsidP="00D347AA">
      <w:pPr>
        <w:spacing w:before="100" w:beforeAutospacing="1" w:after="100" w:afterAutospacing="1"/>
        <w:rPr>
          <w:sz w:val="24"/>
          <w:szCs w:val="24"/>
        </w:rPr>
      </w:pPr>
      <w:r w:rsidRPr="00D347AA">
        <w:rPr>
          <w:b/>
          <w:bCs/>
          <w:sz w:val="24"/>
          <w:szCs w:val="24"/>
        </w:rPr>
        <w:t>Due Process Considerations</w:t>
      </w:r>
    </w:p>
    <w:p w14:paraId="16E395F0" w14:textId="77777777" w:rsidR="00D347AA" w:rsidRPr="00D347AA" w:rsidRDefault="00D347AA" w:rsidP="00D347AA">
      <w:pPr>
        <w:spacing w:before="100" w:beforeAutospacing="1" w:after="100" w:afterAutospacing="1"/>
        <w:rPr>
          <w:sz w:val="24"/>
          <w:szCs w:val="24"/>
        </w:rPr>
      </w:pPr>
      <w:r w:rsidRPr="00D347AA">
        <w:rPr>
          <w:sz w:val="24"/>
          <w:szCs w:val="24"/>
        </w:rPr>
        <w:t>This process satisfies due process because the non-moving party is given a full and fair opportunity to respond. Due process does not guarantee a full evidentiary hearing or trial in every case. It guarantees notice and an opportunity to be heard. The summary judgment procedure provides this by:</w:t>
      </w:r>
    </w:p>
    <w:p w14:paraId="33FBE18B" w14:textId="77777777" w:rsidR="00D347AA" w:rsidRPr="00D347AA" w:rsidRDefault="00D347AA" w:rsidP="00D347AA">
      <w:pPr>
        <w:numPr>
          <w:ilvl w:val="0"/>
          <w:numId w:val="9"/>
        </w:numPr>
        <w:spacing w:before="100" w:beforeAutospacing="1" w:after="100" w:afterAutospacing="1"/>
        <w:rPr>
          <w:sz w:val="24"/>
          <w:szCs w:val="24"/>
        </w:rPr>
      </w:pPr>
      <w:r w:rsidRPr="00D347AA">
        <w:rPr>
          <w:b/>
          <w:bCs/>
          <w:sz w:val="24"/>
          <w:szCs w:val="24"/>
        </w:rPr>
        <w:t>Notice:</w:t>
      </w:r>
      <w:r w:rsidRPr="00D347AA">
        <w:rPr>
          <w:sz w:val="24"/>
          <w:szCs w:val="24"/>
        </w:rPr>
        <w:t xml:space="preserve"> The motion itself provides clear notice of the specific claims and elements being challenged for lack of evidence.</w:t>
      </w:r>
    </w:p>
    <w:p w14:paraId="610864AA" w14:textId="77777777" w:rsidR="00D347AA" w:rsidRPr="00D347AA" w:rsidRDefault="00D347AA" w:rsidP="00D347AA">
      <w:pPr>
        <w:numPr>
          <w:ilvl w:val="0"/>
          <w:numId w:val="9"/>
        </w:numPr>
        <w:spacing w:before="100" w:beforeAutospacing="1" w:after="100" w:afterAutospacing="1"/>
        <w:rPr>
          <w:sz w:val="24"/>
          <w:szCs w:val="24"/>
        </w:rPr>
      </w:pPr>
      <w:r w:rsidRPr="00D347AA">
        <w:rPr>
          <w:b/>
          <w:bCs/>
          <w:sz w:val="24"/>
          <w:szCs w:val="24"/>
        </w:rPr>
        <w:t>Opportunity to Be Heard:</w:t>
      </w:r>
      <w:r w:rsidRPr="00D347AA">
        <w:rPr>
          <w:sz w:val="24"/>
          <w:szCs w:val="24"/>
        </w:rPr>
        <w:t xml:space="preserve"> The non-moving party has the opportunity to present their evidence and legal arguments in a written response and, in some cases, at a hearing on the motion.</w:t>
      </w:r>
    </w:p>
    <w:p w14:paraId="1A0ABF6D" w14:textId="77777777" w:rsidR="00D347AA" w:rsidRPr="00D347AA" w:rsidRDefault="00D347AA" w:rsidP="00D347AA">
      <w:pPr>
        <w:spacing w:before="100" w:beforeAutospacing="1" w:after="100" w:afterAutospacing="1"/>
        <w:rPr>
          <w:sz w:val="24"/>
          <w:szCs w:val="24"/>
        </w:rPr>
      </w:pPr>
      <w:r w:rsidRPr="00D347AA">
        <w:rPr>
          <w:sz w:val="24"/>
          <w:szCs w:val="24"/>
        </w:rPr>
        <w:t>If the non-moving party is unable to produce any evidence to support an essential element of their case after adequate time for discovery, a court can conclude that no reasonable jury could find in their favor, and a judgment without a trial is therefore appropriate and does not violate due process.</w:t>
      </w:r>
    </w:p>
    <w:p w14:paraId="3EC91446" w14:textId="77777777" w:rsidR="00D64B8D" w:rsidRDefault="00D64B8D"/>
    <w:sectPr w:rsidR="00D64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D482B"/>
    <w:multiLevelType w:val="hybridMultilevel"/>
    <w:tmpl w:val="AC827188"/>
    <w:lvl w:ilvl="0" w:tplc="73D8C69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97027"/>
    <w:multiLevelType w:val="multilevel"/>
    <w:tmpl w:val="9E5A7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54109F"/>
    <w:multiLevelType w:val="multilevel"/>
    <w:tmpl w:val="9B30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240F6"/>
    <w:multiLevelType w:val="hybridMultilevel"/>
    <w:tmpl w:val="C4267642"/>
    <w:lvl w:ilvl="0" w:tplc="CFA8DF7C">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E1134F"/>
    <w:multiLevelType w:val="hybridMultilevel"/>
    <w:tmpl w:val="AC1C20D2"/>
    <w:lvl w:ilvl="0" w:tplc="A3C67A04">
      <w:start w:val="1"/>
      <w:numFmt w:val="upperRoman"/>
      <w:pStyle w:val="Heading3"/>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9F050C"/>
    <w:multiLevelType w:val="hybridMultilevel"/>
    <w:tmpl w:val="087600DA"/>
    <w:lvl w:ilvl="0" w:tplc="45B8382E">
      <w:start w:val="1"/>
      <w:numFmt w:val="upperLetter"/>
      <w:pStyle w:val="Heading2"/>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02E6073"/>
    <w:multiLevelType w:val="hybridMultilevel"/>
    <w:tmpl w:val="AD004932"/>
    <w:lvl w:ilvl="0" w:tplc="34DE6F8C">
      <w:start w:val="1"/>
      <w:numFmt w:val="upp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4"/>
  </w:num>
  <w:num w:numId="3">
    <w:abstractNumId w:val="0"/>
  </w:num>
  <w:num w:numId="4">
    <w:abstractNumId w:val="6"/>
  </w:num>
  <w:num w:numId="5">
    <w:abstractNumId w:val="5"/>
  </w:num>
  <w:num w:numId="6">
    <w:abstractNumId w:val="5"/>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7AA"/>
    <w:rsid w:val="001A68B6"/>
    <w:rsid w:val="002650A3"/>
    <w:rsid w:val="00532694"/>
    <w:rsid w:val="005E0721"/>
    <w:rsid w:val="00D347AA"/>
    <w:rsid w:val="00D64B8D"/>
    <w:rsid w:val="00D66328"/>
    <w:rsid w:val="00FA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0E391"/>
  <w15:chartTrackingRefBased/>
  <w15:docId w15:val="{E97318E6-886A-4423-81E1-C2B14213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8B6"/>
  </w:style>
  <w:style w:type="paragraph" w:styleId="Heading1">
    <w:name w:val="heading 1"/>
    <w:link w:val="Heading1Char"/>
    <w:autoRedefine/>
    <w:uiPriority w:val="9"/>
    <w:qFormat/>
    <w:rsid w:val="001A68B6"/>
    <w:pPr>
      <w:outlineLvl w:val="0"/>
    </w:pPr>
    <w:rPr>
      <w:b/>
      <w:sz w:val="32"/>
      <w:szCs w:val="32"/>
    </w:rPr>
  </w:style>
  <w:style w:type="paragraph" w:styleId="Heading2">
    <w:name w:val="heading 2"/>
    <w:basedOn w:val="Normal"/>
    <w:next w:val="Normal"/>
    <w:link w:val="Heading2Char"/>
    <w:autoRedefine/>
    <w:uiPriority w:val="9"/>
    <w:unhideWhenUsed/>
    <w:qFormat/>
    <w:rsid w:val="00D66328"/>
    <w:pPr>
      <w:numPr>
        <w:numId w:val="6"/>
      </w:numPr>
      <w:outlineLvl w:val="1"/>
    </w:pPr>
    <w:rPr>
      <w:b/>
      <w:bCs/>
      <w:sz w:val="26"/>
      <w:szCs w:val="26"/>
    </w:rPr>
  </w:style>
  <w:style w:type="paragraph" w:styleId="Heading3">
    <w:name w:val="heading 3"/>
    <w:basedOn w:val="Normal"/>
    <w:next w:val="Normal"/>
    <w:link w:val="Heading3Char"/>
    <w:autoRedefine/>
    <w:uiPriority w:val="9"/>
    <w:unhideWhenUsed/>
    <w:qFormat/>
    <w:rsid w:val="00FA6E21"/>
    <w:pPr>
      <w:numPr>
        <w:numId w:val="2"/>
      </w:numPr>
      <w:outlineLvl w:val="2"/>
    </w:pPr>
    <w:rPr>
      <w:b/>
    </w:rPr>
  </w:style>
  <w:style w:type="paragraph" w:styleId="Heading4">
    <w:name w:val="heading 4"/>
    <w:basedOn w:val="Normal"/>
    <w:next w:val="Normal"/>
    <w:link w:val="Heading4Char"/>
    <w:autoRedefine/>
    <w:uiPriority w:val="9"/>
    <w:unhideWhenUsed/>
    <w:qFormat/>
    <w:rsid w:val="00FA6E21"/>
    <w:pPr>
      <w:numPr>
        <w:numId w:val="4"/>
      </w:numPr>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2650A3"/>
    <w:pPr>
      <w:widowControl w:val="0"/>
      <w:spacing w:after="120"/>
      <w:ind w:left="720" w:right="720"/>
      <w:jc w:val="both"/>
      <w:textboxTightWrap w:val="allLines"/>
    </w:pPr>
    <w:rPr>
      <w:i/>
      <w:iCs/>
      <w:color w:val="404040" w:themeColor="text1" w:themeTint="BF"/>
      <w:szCs w:val="24"/>
    </w:rPr>
  </w:style>
  <w:style w:type="character" w:customStyle="1" w:styleId="QuoteChar">
    <w:name w:val="Quote Char"/>
    <w:basedOn w:val="DefaultParagraphFont"/>
    <w:link w:val="Quote"/>
    <w:uiPriority w:val="29"/>
    <w:rsid w:val="002650A3"/>
    <w:rPr>
      <w:i/>
      <w:iCs/>
      <w:color w:val="404040" w:themeColor="text1" w:themeTint="BF"/>
      <w:szCs w:val="24"/>
    </w:rPr>
  </w:style>
  <w:style w:type="paragraph" w:customStyle="1" w:styleId="Footnote">
    <w:name w:val="Footnote"/>
    <w:basedOn w:val="Normal"/>
    <w:link w:val="FootnoteChar"/>
    <w:autoRedefine/>
    <w:qFormat/>
    <w:rsid w:val="00FA6E21"/>
  </w:style>
  <w:style w:type="character" w:customStyle="1" w:styleId="FootnoteChar">
    <w:name w:val="Footnote Char"/>
    <w:link w:val="Footnote"/>
    <w:rsid w:val="00FA6E21"/>
    <w:rPr>
      <w:rFonts w:cs="Times New Roman"/>
      <w:sz w:val="20"/>
      <w:szCs w:val="20"/>
    </w:rPr>
  </w:style>
  <w:style w:type="paragraph" w:styleId="FootnoteText">
    <w:name w:val="footnote text"/>
    <w:basedOn w:val="Normal"/>
    <w:link w:val="FootnoteTextChar"/>
    <w:uiPriority w:val="99"/>
    <w:semiHidden/>
    <w:unhideWhenUsed/>
    <w:rsid w:val="00FA6E21"/>
  </w:style>
  <w:style w:type="character" w:customStyle="1" w:styleId="FootnoteTextChar">
    <w:name w:val="Footnote Text Char"/>
    <w:basedOn w:val="DefaultParagraphFont"/>
    <w:link w:val="FootnoteText"/>
    <w:uiPriority w:val="99"/>
    <w:semiHidden/>
    <w:rsid w:val="00FA6E21"/>
    <w:rPr>
      <w:sz w:val="20"/>
      <w:szCs w:val="20"/>
    </w:rPr>
  </w:style>
  <w:style w:type="character" w:customStyle="1" w:styleId="Heading2Char">
    <w:name w:val="Heading 2 Char"/>
    <w:basedOn w:val="DefaultParagraphFont"/>
    <w:link w:val="Heading2"/>
    <w:uiPriority w:val="9"/>
    <w:rsid w:val="00D66328"/>
    <w:rPr>
      <w:rFonts w:ascii="Times New Roman" w:eastAsia="Times New Roman" w:hAnsi="Times New Roman" w:cs="Times New Roman"/>
      <w:b/>
      <w:bCs/>
      <w:sz w:val="26"/>
      <w:szCs w:val="26"/>
    </w:rPr>
  </w:style>
  <w:style w:type="paragraph" w:styleId="NoSpacing">
    <w:name w:val="No Spacing"/>
    <w:autoRedefine/>
    <w:uiPriority w:val="1"/>
    <w:qFormat/>
    <w:rsid w:val="00FA6E21"/>
    <w:pPr>
      <w:spacing w:before="120" w:after="120"/>
    </w:pPr>
    <w:rPr>
      <w:sz w:val="24"/>
    </w:rPr>
  </w:style>
  <w:style w:type="character" w:customStyle="1" w:styleId="Heading3Char">
    <w:name w:val="Heading 3 Char"/>
    <w:basedOn w:val="DefaultParagraphFont"/>
    <w:link w:val="Heading3"/>
    <w:uiPriority w:val="9"/>
    <w:rsid w:val="00FA6E21"/>
    <w:rPr>
      <w:rFonts w:ascii="Times New Roman" w:eastAsia="Times New Roman" w:hAnsi="Times New Roman" w:cs="Times New Roman"/>
      <w:b/>
      <w:sz w:val="24"/>
      <w:szCs w:val="24"/>
    </w:rPr>
  </w:style>
  <w:style w:type="character" w:customStyle="1" w:styleId="Heading1Char">
    <w:name w:val="Heading 1 Char"/>
    <w:basedOn w:val="DefaultParagraphFont"/>
    <w:link w:val="Heading1"/>
    <w:uiPriority w:val="9"/>
    <w:rsid w:val="001A68B6"/>
    <w:rPr>
      <w:rFonts w:ascii="Times New Roman" w:hAnsi="Times New Roman" w:cs="Times New Roman"/>
      <w:b/>
      <w:sz w:val="32"/>
      <w:szCs w:val="32"/>
    </w:rPr>
  </w:style>
  <w:style w:type="character" w:customStyle="1" w:styleId="Heading4Char">
    <w:name w:val="Heading 4 Char"/>
    <w:basedOn w:val="DefaultParagraphFont"/>
    <w:link w:val="Heading4"/>
    <w:uiPriority w:val="9"/>
    <w:rsid w:val="00FA6E21"/>
    <w:rPr>
      <w:rFonts w:ascii="Times New Roman" w:eastAsia="Times New Roman" w:hAnsi="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64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tient.com/case/pierson-v-mrs-fields-cookies-2008462" TargetMode="External"/><Relationship Id="rId5" Type="http://schemas.openxmlformats.org/officeDocument/2006/relationships/hyperlink" Target="https://www.cetient.com/case/pierson-v-mrs-fields-cookies-20084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dc:creator>
  <cp:keywords/>
  <dc:description/>
  <cp:lastModifiedBy>Luis Cypher</cp:lastModifiedBy>
  <cp:revision>1</cp:revision>
  <dcterms:created xsi:type="dcterms:W3CDTF">2025-10-15T01:36:00Z</dcterms:created>
  <dcterms:modified xsi:type="dcterms:W3CDTF">2025-10-16T23:14:00Z</dcterms:modified>
</cp:coreProperties>
</file>