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9ECC3" w14:textId="77777777" w:rsidR="00031B2A" w:rsidRDefault="00031B2A" w:rsidP="00031B2A">
      <w:pPr>
        <w:spacing w:line="240" w:lineRule="auto"/>
        <w:jc w:val="center"/>
      </w:pPr>
      <w:r>
        <w:t xml:space="preserve">CAUSE NO. </w:t>
      </w:r>
      <w:r w:rsidRPr="00600C49">
        <w:t>2025-72470</w:t>
      </w:r>
    </w:p>
    <w:p w14:paraId="759CCB4E" w14:textId="77777777" w:rsidR="00031B2A" w:rsidRDefault="00031B2A" w:rsidP="00031B2A">
      <w:pPr>
        <w:pStyle w:val="BodyText"/>
        <w:spacing w:line="240" w:lineRule="auto"/>
      </w:pPr>
      <w:r>
        <w:t>Candace Louise Curtis,</w:t>
      </w:r>
      <w:r w:rsidRPr="009C6E75">
        <w:tab/>
      </w:r>
      <w:r>
        <w:tab/>
      </w:r>
      <w:r>
        <w:tab/>
      </w:r>
      <w:r w:rsidRPr="009C6E75">
        <w:t xml:space="preserve">§ </w:t>
      </w:r>
      <w:r>
        <w:tab/>
      </w:r>
      <w:r w:rsidRPr="009C6E75">
        <w:t>IN THE DISTRICT</w:t>
      </w:r>
      <w:r>
        <w:t xml:space="preserve"> COURT OF</w:t>
      </w:r>
    </w:p>
    <w:p w14:paraId="1B3060B4" w14:textId="77777777" w:rsidR="00031B2A" w:rsidRDefault="00031B2A" w:rsidP="00031B2A">
      <w:pPr>
        <w:pStyle w:val="BodyText"/>
        <w:spacing w:line="240" w:lineRule="auto"/>
        <w:ind w:left="720" w:firstLine="720"/>
      </w:pPr>
      <w:r>
        <w:t>Petitioner</w:t>
      </w:r>
      <w:r>
        <w:tab/>
      </w:r>
      <w:r>
        <w:tab/>
      </w:r>
      <w:r>
        <w:tab/>
      </w:r>
      <w:r w:rsidRPr="009C6E75">
        <w:t>§</w:t>
      </w:r>
    </w:p>
    <w:p w14:paraId="29FAAC7D" w14:textId="77777777" w:rsidR="00031B2A" w:rsidRDefault="00031B2A" w:rsidP="00031B2A">
      <w:pPr>
        <w:pStyle w:val="BodyText"/>
        <w:spacing w:line="240" w:lineRule="auto"/>
      </w:pPr>
      <w:r>
        <w:t>v.</w:t>
      </w:r>
      <w:r>
        <w:tab/>
      </w:r>
      <w:r>
        <w:tab/>
      </w:r>
      <w:r>
        <w:tab/>
      </w:r>
      <w:r>
        <w:tab/>
      </w:r>
      <w:r>
        <w:tab/>
      </w:r>
      <w:r>
        <w:tab/>
      </w:r>
      <w:r w:rsidRPr="009C6E75">
        <w:t>§</w:t>
      </w:r>
      <w:r>
        <w:tab/>
        <w:t>THE 269th JUDICIAL DISTRICT</w:t>
      </w:r>
    </w:p>
    <w:p w14:paraId="10B7FBBF" w14:textId="77777777" w:rsidR="00031B2A" w:rsidRDefault="00031B2A" w:rsidP="00031B2A">
      <w:pPr>
        <w:pStyle w:val="BodyText"/>
        <w:spacing w:line="240" w:lineRule="auto"/>
      </w:pPr>
      <w:r>
        <w:tab/>
      </w:r>
      <w:r>
        <w:tab/>
      </w:r>
      <w:r>
        <w:tab/>
      </w:r>
      <w:r>
        <w:tab/>
      </w:r>
      <w:r>
        <w:tab/>
      </w:r>
      <w:r>
        <w:tab/>
      </w:r>
      <w:r w:rsidRPr="009C6E75">
        <w:t>§</w:t>
      </w:r>
      <w:r>
        <w:tab/>
      </w:r>
    </w:p>
    <w:p w14:paraId="7D419B09" w14:textId="77777777" w:rsidR="00031B2A" w:rsidRDefault="00031B2A" w:rsidP="00031B2A">
      <w:pPr>
        <w:spacing w:line="240" w:lineRule="auto"/>
      </w:pPr>
      <w:r>
        <w:t xml:space="preserve">Carl Henry Brunsting, </w:t>
      </w:r>
      <w:r>
        <w:tab/>
      </w:r>
      <w:r>
        <w:tab/>
      </w:r>
      <w:r>
        <w:tab/>
      </w:r>
      <w:r w:rsidRPr="009C6E75">
        <w:t>§</w:t>
      </w:r>
      <w:r>
        <w:tab/>
        <w:t>HARRIS COUNTY, TEXAS</w:t>
      </w:r>
    </w:p>
    <w:p w14:paraId="58E5A181" w14:textId="77777777" w:rsidR="00031B2A" w:rsidRDefault="00031B2A" w:rsidP="00031B2A">
      <w:pPr>
        <w:spacing w:line="240" w:lineRule="auto"/>
      </w:pPr>
      <w:r>
        <w:t>Bobbie G. Bayless</w:t>
      </w:r>
      <w:r>
        <w:tab/>
      </w:r>
      <w:r>
        <w:tab/>
      </w:r>
      <w:r>
        <w:tab/>
      </w:r>
      <w:r>
        <w:tab/>
      </w:r>
      <w:r w:rsidRPr="009C6E75">
        <w:t>§</w:t>
      </w:r>
    </w:p>
    <w:p w14:paraId="7C71A7CD" w14:textId="77777777" w:rsidR="00031B2A" w:rsidRDefault="00031B2A" w:rsidP="00031B2A">
      <w:pPr>
        <w:spacing w:line="240" w:lineRule="auto"/>
      </w:pPr>
      <w:r>
        <w:t>Anita Kay Brunsting</w:t>
      </w:r>
      <w:r>
        <w:tab/>
      </w:r>
      <w:r>
        <w:tab/>
      </w:r>
      <w:r>
        <w:tab/>
      </w:r>
      <w:r>
        <w:tab/>
      </w:r>
      <w:r w:rsidRPr="009C6E75">
        <w:t>§</w:t>
      </w:r>
      <w:r>
        <w:tab/>
      </w:r>
      <w:r>
        <w:tab/>
      </w:r>
      <w:r>
        <w:tab/>
      </w:r>
      <w:r>
        <w:tab/>
      </w:r>
      <w:r>
        <w:tab/>
      </w:r>
      <w:r>
        <w:tab/>
      </w:r>
    </w:p>
    <w:p w14:paraId="2F3F70CA" w14:textId="77777777" w:rsidR="00031B2A" w:rsidRDefault="00031B2A" w:rsidP="00031B2A">
      <w:pPr>
        <w:spacing w:line="240" w:lineRule="auto"/>
      </w:pPr>
      <w:r>
        <w:t>Stephen Mendel Esq</w:t>
      </w:r>
      <w:r>
        <w:tab/>
      </w:r>
      <w:r>
        <w:tab/>
      </w:r>
      <w:r>
        <w:tab/>
      </w:r>
      <w:r>
        <w:tab/>
      </w:r>
      <w:r w:rsidRPr="009C6E75">
        <w:t>§</w:t>
      </w:r>
      <w:r>
        <w:tab/>
      </w:r>
      <w:r>
        <w:tab/>
      </w:r>
      <w:r>
        <w:tab/>
      </w:r>
      <w:r>
        <w:tab/>
      </w:r>
      <w:r>
        <w:tab/>
      </w:r>
      <w:r>
        <w:tab/>
      </w:r>
    </w:p>
    <w:p w14:paraId="2FD6BF0A" w14:textId="77777777" w:rsidR="00031B2A" w:rsidRDefault="00031B2A" w:rsidP="00031B2A">
      <w:pPr>
        <w:spacing w:line="240" w:lineRule="auto"/>
      </w:pPr>
      <w:r>
        <w:t>Amy Ruth Brunsting</w:t>
      </w:r>
      <w:r>
        <w:tab/>
      </w:r>
      <w:r>
        <w:tab/>
      </w:r>
      <w:r>
        <w:tab/>
      </w:r>
      <w:r>
        <w:tab/>
      </w:r>
      <w:r w:rsidRPr="009C6E75">
        <w:t>§</w:t>
      </w:r>
    </w:p>
    <w:p w14:paraId="5C6BAB50" w14:textId="77777777" w:rsidR="00031B2A" w:rsidRDefault="00031B2A" w:rsidP="00031B2A">
      <w:pPr>
        <w:spacing w:line="240" w:lineRule="auto"/>
      </w:pPr>
      <w:r>
        <w:t>Neal E. Spielman</w:t>
      </w:r>
      <w:r>
        <w:tab/>
      </w:r>
      <w:r>
        <w:tab/>
      </w:r>
      <w:r>
        <w:tab/>
      </w:r>
      <w:r>
        <w:tab/>
      </w:r>
      <w:r w:rsidRPr="009C6E75">
        <w:t>§</w:t>
      </w:r>
    </w:p>
    <w:p w14:paraId="2997FD3F" w14:textId="77777777" w:rsidR="00031B2A" w:rsidRDefault="00031B2A" w:rsidP="00031B2A">
      <w:pPr>
        <w:spacing w:line="240" w:lineRule="auto"/>
      </w:pPr>
      <w:r>
        <w:t>Carole Ann Brunsting</w:t>
      </w:r>
      <w:r>
        <w:tab/>
      </w:r>
      <w:r>
        <w:tab/>
      </w:r>
      <w:r>
        <w:tab/>
      </w:r>
      <w:r>
        <w:tab/>
      </w:r>
      <w:r w:rsidRPr="009C6E75">
        <w:t>§</w:t>
      </w:r>
    </w:p>
    <w:p w14:paraId="46DB23EA" w14:textId="77777777" w:rsidR="00031B2A" w:rsidRDefault="00031B2A" w:rsidP="00031B2A">
      <w:pPr>
        <w:spacing w:line="240" w:lineRule="auto"/>
      </w:pPr>
      <w:r>
        <w:t xml:space="preserve">John Bruster </w:t>
      </w:r>
      <w:proofErr w:type="spellStart"/>
      <w:r>
        <w:t>Loyd</w:t>
      </w:r>
      <w:proofErr w:type="spellEnd"/>
      <w:r>
        <w:tab/>
      </w:r>
      <w:r>
        <w:tab/>
      </w:r>
      <w:r>
        <w:tab/>
      </w:r>
      <w:r>
        <w:tab/>
      </w:r>
      <w:r w:rsidRPr="009C6E75">
        <w:t>§</w:t>
      </w:r>
    </w:p>
    <w:p w14:paraId="5FFDB387" w14:textId="77777777" w:rsidR="00031B2A" w:rsidRDefault="00031B2A" w:rsidP="00031B2A">
      <w:pPr>
        <w:spacing w:line="240" w:lineRule="auto"/>
      </w:pPr>
      <w:r>
        <w:t>Candace Kunz-Freed</w:t>
      </w:r>
      <w:r>
        <w:tab/>
      </w:r>
      <w:r>
        <w:tab/>
      </w:r>
      <w:r>
        <w:tab/>
      </w:r>
      <w:r>
        <w:tab/>
        <w:t>§</w:t>
      </w:r>
      <w:r>
        <w:tab/>
      </w:r>
    </w:p>
    <w:p w14:paraId="22DD34FC" w14:textId="77777777" w:rsidR="00031B2A" w:rsidRDefault="00031B2A" w:rsidP="00031B2A">
      <w:pPr>
        <w:spacing w:line="240" w:lineRule="auto"/>
      </w:pPr>
      <w:r>
        <w:t>Cory Reed</w:t>
      </w:r>
      <w:r>
        <w:tab/>
      </w:r>
      <w:r>
        <w:tab/>
      </w:r>
      <w:r>
        <w:tab/>
      </w:r>
      <w:r>
        <w:tab/>
      </w:r>
      <w:r>
        <w:tab/>
        <w:t>§</w:t>
      </w:r>
      <w:r>
        <w:tab/>
      </w:r>
      <w:r>
        <w:tab/>
      </w:r>
      <w:r>
        <w:tab/>
      </w:r>
      <w:r>
        <w:tab/>
      </w:r>
      <w:r>
        <w:tab/>
      </w:r>
    </w:p>
    <w:p w14:paraId="51EFDA05" w14:textId="574D7F8E" w:rsidR="00031B2A" w:rsidRDefault="00031B2A" w:rsidP="00031B2A">
      <w:pPr>
        <w:pStyle w:val="BodyText"/>
        <w:pBdr>
          <w:bottom w:val="single" w:sz="12" w:space="1" w:color="auto"/>
        </w:pBdr>
        <w:spacing w:line="240" w:lineRule="auto"/>
        <w:ind w:left="720" w:firstLine="720"/>
        <w:jc w:val="both"/>
      </w:pPr>
      <w:r>
        <w:t>Defendant</w:t>
      </w:r>
      <w:r>
        <w:tab/>
      </w:r>
      <w:r>
        <w:tab/>
      </w:r>
      <w:r>
        <w:tab/>
      </w:r>
      <w:r w:rsidRPr="009C6E75">
        <w:t>§</w:t>
      </w:r>
    </w:p>
    <w:p w14:paraId="55E76941" w14:textId="1DFB72F8" w:rsidR="00A14AE6" w:rsidRDefault="00D33A2E" w:rsidP="00031B2A">
      <w:pPr>
        <w:pStyle w:val="BodyText"/>
        <w:jc w:val="center"/>
      </w:pPr>
      <w:r>
        <w:rPr>
          <w:b/>
          <w:bCs/>
        </w:rPr>
        <w:t>PLAINTIFF’S MOTION FOR COSTS OF SERVICE</w:t>
      </w:r>
    </w:p>
    <w:p w14:paraId="29BDBABB" w14:textId="77777777" w:rsidR="00A14AE6" w:rsidRDefault="00D33A2E">
      <w:pPr>
        <w:pStyle w:val="BodyText"/>
      </w:pPr>
      <w:r>
        <w:rPr>
          <w:b/>
          <w:bCs/>
        </w:rPr>
        <w:t>TO THE HONORABLE JUDGE OF SAID COURT:</w:t>
      </w:r>
    </w:p>
    <w:p w14:paraId="6EB162C9" w14:textId="77777777" w:rsidR="00A14AE6" w:rsidRDefault="00D33A2E">
      <w:pPr>
        <w:pStyle w:val="BodyText"/>
      </w:pPr>
      <w:r>
        <w:t>COMES NOW, Plaintiff Candace Louise Curtis, acting Pro Se, and files this Motion for Costs of Service, and would respectfully show the Court as follows:</w:t>
      </w:r>
    </w:p>
    <w:p w14:paraId="2627A478" w14:textId="77777777" w:rsidR="00A14AE6" w:rsidRDefault="00D33A2E">
      <w:pPr>
        <w:pStyle w:val="BodyText"/>
      </w:pPr>
      <w:r>
        <w:rPr>
          <w:b/>
          <w:bCs/>
        </w:rPr>
        <w:t>I. RELIEF REQUESTED</w:t>
      </w:r>
    </w:p>
    <w:p w14:paraId="59DD555A" w14:textId="77777777" w:rsidR="00A14AE6" w:rsidRDefault="00D33A2E">
      <w:pPr>
        <w:numPr>
          <w:ilvl w:val="0"/>
          <w:numId w:val="3"/>
        </w:numPr>
      </w:pPr>
      <w:r>
        <w:t>Plain</w:t>
      </w:r>
      <w:r>
        <w:t xml:space="preserve">tiff requests that the Court enter an order compelling Defendant </w:t>
      </w:r>
      <w:r w:rsidRPr="00031B2A">
        <w:rPr>
          <w:highlight w:val="yellow"/>
        </w:rPr>
        <w:t>Stephen A. Mendel</w:t>
      </w:r>
      <w:r>
        <w:t xml:space="preserve"> (“Defendant”) to pay the costs Plaintiff incurred in effecting personal service on him after he failed, without good cause, to waive service of citation.</w:t>
      </w:r>
    </w:p>
    <w:p w14:paraId="1B203BA8" w14:textId="77777777" w:rsidR="00A14AE6" w:rsidRDefault="00D33A2E">
      <w:r>
        <w:rPr>
          <w:b/>
          <w:bCs/>
        </w:rPr>
        <w:t>II. FACTS</w:t>
      </w:r>
    </w:p>
    <w:p w14:paraId="3E9D6D54" w14:textId="77777777" w:rsidR="00A14AE6" w:rsidRDefault="00D33A2E">
      <w:pPr>
        <w:numPr>
          <w:ilvl w:val="0"/>
          <w:numId w:val="4"/>
        </w:numPr>
      </w:pPr>
      <w:r>
        <w:t>On or about September 27, 2025, Plaintiff filed her Original Petition in this cause.</w:t>
      </w:r>
    </w:p>
    <w:p w14:paraId="38780C6D" w14:textId="77777777" w:rsidR="00A14AE6" w:rsidRPr="00031B2A" w:rsidRDefault="00D33A2E">
      <w:pPr>
        <w:numPr>
          <w:ilvl w:val="0"/>
          <w:numId w:val="4"/>
        </w:numPr>
        <w:rPr>
          <w:highlight w:val="yellow"/>
        </w:rPr>
      </w:pPr>
      <w:r>
        <w:t>On September 27, 2025, Plaintiff sent Defendant a “Notice of Lawsuit and Request for Waiver of Service of Citation,” along with a copy of the Plaintiff’s Original Petition</w:t>
      </w:r>
      <w:r>
        <w:t xml:space="preserve">, a waiver of service form, and a prepaid, self-addressed envelope for returning the waiver. This request was sent via certified mail, return receipt requested, to Defendant’s address of record. </w:t>
      </w:r>
      <w:r w:rsidRPr="00031B2A">
        <w:rPr>
          <w:highlight w:val="yellow"/>
        </w:rPr>
        <w:t>A copy of the Notice is attached hereto as Exhibit A.</w:t>
      </w:r>
    </w:p>
    <w:p w14:paraId="7081946D" w14:textId="77777777" w:rsidR="00A14AE6" w:rsidRDefault="00D33A2E">
      <w:pPr>
        <w:numPr>
          <w:ilvl w:val="0"/>
          <w:numId w:val="4"/>
        </w:numPr>
      </w:pPr>
      <w:r>
        <w:lastRenderedPageBreak/>
        <w:t>The req</w:t>
      </w:r>
      <w:r>
        <w:t>uest complied with the requirements of the Texas Rules of Civil Procedure. It notified Defendant of the lawsuit, explained the consequences of failing to waive service, and provided him with a reasonable time of 30 days—until October 27, 2025—to return the</w:t>
      </w:r>
      <w:r>
        <w:t xml:space="preserve"> signed waiver.</w:t>
      </w:r>
    </w:p>
    <w:p w14:paraId="362809D7" w14:textId="77777777" w:rsidR="00A14AE6" w:rsidRDefault="00D33A2E">
      <w:pPr>
        <w:numPr>
          <w:ilvl w:val="0"/>
          <w:numId w:val="4"/>
        </w:numPr>
      </w:pPr>
      <w:r>
        <w:t>Defendant failed to return the signed Waiver of Service of Citation by the deadline.</w:t>
      </w:r>
    </w:p>
    <w:p w14:paraId="390E5AD7" w14:textId="77777777" w:rsidR="00A14AE6" w:rsidRDefault="00D33A2E">
      <w:pPr>
        <w:numPr>
          <w:ilvl w:val="0"/>
          <w:numId w:val="4"/>
        </w:numPr>
      </w:pPr>
      <w:r>
        <w:t>As a direct result of Defendant’s failure to waive service, Plaintiff was required to incur the expense of having Defendant formally served with citation i</w:t>
      </w:r>
      <w:r>
        <w:t>n person.</w:t>
      </w:r>
    </w:p>
    <w:p w14:paraId="76BFCCDC" w14:textId="77777777" w:rsidR="00A14AE6" w:rsidRPr="00031B2A" w:rsidRDefault="00D33A2E">
      <w:pPr>
        <w:numPr>
          <w:ilvl w:val="0"/>
          <w:numId w:val="4"/>
        </w:numPr>
        <w:rPr>
          <w:highlight w:val="yellow"/>
        </w:rPr>
      </w:pPr>
      <w:r>
        <w:t xml:space="preserve">Personal service on Defendant </w:t>
      </w:r>
      <w:r w:rsidRPr="00031B2A">
        <w:rPr>
          <w:highlight w:val="yellow"/>
        </w:rPr>
        <w:t>Stephen A. Mendel</w:t>
      </w:r>
      <w:r>
        <w:t xml:space="preserve"> was accomplished on </w:t>
      </w:r>
      <w:r>
        <w:rPr>
          <w:b/>
          <w:bCs/>
        </w:rPr>
        <w:t>[</w:t>
      </w:r>
      <w:r w:rsidRPr="00031B2A">
        <w:rPr>
          <w:b/>
          <w:bCs/>
          <w:highlight w:val="yellow"/>
        </w:rPr>
        <w:t>Date of Service]</w:t>
      </w:r>
      <w:r>
        <w:t xml:space="preserve">. The total cost incurred by Plaintiff to effect this service was </w:t>
      </w:r>
      <w:r w:rsidRPr="00031B2A">
        <w:rPr>
          <w:b/>
          <w:bCs/>
          <w:highlight w:val="yellow"/>
        </w:rPr>
        <w:t>$[Amount]</w:t>
      </w:r>
      <w:r>
        <w:t xml:space="preserve">. </w:t>
      </w:r>
      <w:r w:rsidRPr="00031B2A">
        <w:rPr>
          <w:highlight w:val="yellow"/>
        </w:rPr>
        <w:t>Plaintiff will provide the Court with an affidavit and invoice detailing these costs</w:t>
      </w:r>
      <w:r w:rsidRPr="00031B2A">
        <w:rPr>
          <w:highlight w:val="yellow"/>
        </w:rPr>
        <w:t>.</w:t>
      </w:r>
    </w:p>
    <w:p w14:paraId="3722FD32" w14:textId="77777777" w:rsidR="00A14AE6" w:rsidRDefault="00D33A2E">
      <w:r>
        <w:rPr>
          <w:b/>
          <w:bCs/>
        </w:rPr>
        <w:t>III. ARGUMENT AND AUTHORITIES</w:t>
      </w:r>
    </w:p>
    <w:p w14:paraId="545848F2" w14:textId="77777777" w:rsidR="00A14AE6" w:rsidRDefault="00D33A2E">
      <w:pPr>
        <w:numPr>
          <w:ilvl w:val="0"/>
          <w:numId w:val="5"/>
        </w:numPr>
      </w:pPr>
      <w:r>
        <w:t>The Texas Rules of Civil Procedure impose a duty on defendants to avoid unnecessary costs of service. Specifically, Texas Rule of Civil Procedure 106(a)(2) allows a plaintiff to request that a defendant waive service of a su</w:t>
      </w:r>
      <w:r>
        <w:t>mmons.</w:t>
      </w:r>
    </w:p>
    <w:p w14:paraId="59F34753" w14:textId="77777777" w:rsidR="00A14AE6" w:rsidRDefault="00D33A2E">
      <w:pPr>
        <w:numPr>
          <w:ilvl w:val="0"/>
          <w:numId w:val="5"/>
        </w:numPr>
      </w:pPr>
      <w:r>
        <w:t>Rule 106(a)(2) is designed to reduce the costs of litigation. When a defendant located in the United States fails, without good cause, to sign and return a waiver requested by a plaintiff, the court is authorized to impose the costs subsequently inc</w:t>
      </w:r>
      <w:r>
        <w:t>urred in making service on that defendant. These recoverable costs include the fees for the person who effected service and reasonable expenses, including attorney fees, for any motion required to collect those service costs.</w:t>
      </w:r>
    </w:p>
    <w:p w14:paraId="65042C11" w14:textId="6A118B8D" w:rsidR="00A14AE6" w:rsidRDefault="00D33A2E">
      <w:pPr>
        <w:numPr>
          <w:ilvl w:val="0"/>
          <w:numId w:val="5"/>
        </w:numPr>
      </w:pPr>
      <w:r>
        <w:t>In this case, Plaintiff proper</w:t>
      </w:r>
      <w:r>
        <w:t>ly requested that Defendant waive service. The request provided Defendant with a copy of the petition</w:t>
      </w:r>
      <w:r w:rsidR="00031B2A">
        <w:t>, the exhibits</w:t>
      </w:r>
      <w:r>
        <w:t xml:space="preserve"> and a prepaid means of compliance, and it gave </w:t>
      </w:r>
      <w:r w:rsidRPr="00031B2A">
        <w:rPr>
          <w:highlight w:val="yellow"/>
        </w:rPr>
        <w:t>him</w:t>
      </w:r>
      <w:r w:rsidR="00031B2A" w:rsidRPr="00031B2A">
        <w:rPr>
          <w:highlight w:val="yellow"/>
        </w:rPr>
        <w:t>/her</w:t>
      </w:r>
      <w:r>
        <w:t xml:space="preserve"> at least 30 days to respond as required. Defendant declined to return the waiver, offering no good caus</w:t>
      </w:r>
      <w:r>
        <w:t xml:space="preserve">e for </w:t>
      </w:r>
      <w:r w:rsidRPr="00031B2A">
        <w:rPr>
          <w:highlight w:val="yellow"/>
        </w:rPr>
        <w:t>his</w:t>
      </w:r>
      <w:r>
        <w:t xml:space="preserve"> failure to do so. Consequently, Plaintiff was forced to incur the costs of personal service, costs that </w:t>
      </w:r>
      <w:r>
        <w:lastRenderedPageBreak/>
        <w:t>Defendant had a duty to avoid. Therefore, under the Texas Rules of Civil Procedure, Defendant should be ordered to reimburse Plaintiff for the</w:t>
      </w:r>
      <w:r>
        <w:t>se expenses.</w:t>
      </w:r>
    </w:p>
    <w:p w14:paraId="6C1B7E1C" w14:textId="77777777" w:rsidR="00A14AE6" w:rsidRDefault="00D33A2E">
      <w:r>
        <w:rPr>
          <w:b/>
          <w:bCs/>
        </w:rPr>
        <w:t>IV. PRAYER</w:t>
      </w:r>
    </w:p>
    <w:p w14:paraId="75C1F4A0" w14:textId="77777777" w:rsidR="00A14AE6" w:rsidRDefault="00D33A2E">
      <w:pPr>
        <w:pStyle w:val="BodyText"/>
      </w:pPr>
      <w:r>
        <w:t xml:space="preserve">WHEREFORE, PREMISES CONSIDERED, Plaintiff Candace Louise Curtis respectfully prays that the Court grant this Motion for Costs of Service and enter an order compelling Defendant </w:t>
      </w:r>
      <w:r w:rsidRPr="00031B2A">
        <w:rPr>
          <w:highlight w:val="yellow"/>
        </w:rPr>
        <w:t>Stephen A. Mendel</w:t>
      </w:r>
      <w:r>
        <w:t xml:space="preserve"> to reimburse Plaintiff for the full c</w:t>
      </w:r>
      <w:r>
        <w:t>ost of effecting personal service, and for such other and further relief, both at law and in equity, to which Plaintiff may be justly entitled.</w:t>
      </w:r>
    </w:p>
    <w:p w14:paraId="2CD29317" w14:textId="77777777" w:rsidR="00A14AE6" w:rsidRDefault="00D33A2E">
      <w:pPr>
        <w:pStyle w:val="BodyText"/>
      </w:pPr>
      <w:r>
        <w:t>Respectfully submitted,</w:t>
      </w:r>
    </w:p>
    <w:p w14:paraId="2561A1AA" w14:textId="77777777" w:rsidR="00A14AE6" w:rsidRDefault="00D33A2E">
      <w:pPr>
        <w:pStyle w:val="BodyText"/>
      </w:pPr>
      <w:r>
        <w:t xml:space="preserve">/s/ Candace Louise Curtis </w:t>
      </w:r>
      <w:r>
        <w:rPr>
          <w:b/>
          <w:bCs/>
        </w:rPr>
        <w:t>Candace Louise Curtis</w:t>
      </w:r>
      <w:r>
        <w:t xml:space="preserve"> Plaintiff Pro Se 218 Landana St American</w:t>
      </w:r>
      <w:r>
        <w:t xml:space="preserve"> Canyon, CA 94503 Email: occurtis@sbcgloabal.net Phone: 925-759-9020</w:t>
      </w:r>
    </w:p>
    <w:p w14:paraId="2D83B519" w14:textId="77777777" w:rsidR="00A14AE6" w:rsidRDefault="00D33A2E">
      <w:pPr>
        <w:pStyle w:val="BodyText"/>
      </w:pPr>
      <w:r>
        <w:rPr>
          <w:b/>
          <w:bCs/>
        </w:rPr>
        <w:t>CERTIFICATE OF SERVICE</w:t>
      </w:r>
    </w:p>
    <w:p w14:paraId="74F9E7DB" w14:textId="3A9ECEC9" w:rsidR="00031B2A" w:rsidRDefault="00D33A2E" w:rsidP="00031B2A">
      <w:pPr>
        <w:pStyle w:val="BodyText"/>
      </w:pPr>
      <w:r>
        <w:t xml:space="preserve">I hereby certify that a true and correct copy of the foregoing Motion for Costs of Service was served upon Defendant Stephen A. Mendel in accordance with the Texas </w:t>
      </w:r>
      <w:r>
        <w:t xml:space="preserve">Rules of Civil Procedure on this </w:t>
      </w:r>
      <w:r w:rsidRPr="00031B2A">
        <w:rPr>
          <w:highlight w:val="yellow"/>
        </w:rPr>
        <w:t>1st day of November, 2025.</w:t>
      </w:r>
    </w:p>
    <w:p w14:paraId="7845968A" w14:textId="21E3F8D8" w:rsidR="00031B2A" w:rsidRDefault="00031B2A" w:rsidP="00031B2A">
      <w:pPr>
        <w:pStyle w:val="BodyText"/>
        <w:spacing w:line="240" w:lineRule="auto"/>
        <w:jc w:val="right"/>
      </w:pPr>
      <w:r w:rsidRPr="00031B2A">
        <w:rPr>
          <w:u w:val="single"/>
        </w:rPr>
        <w:t>____________/S/______</w:t>
      </w:r>
      <w:r>
        <w:t>______________________</w:t>
      </w:r>
    </w:p>
    <w:p w14:paraId="6B897C21" w14:textId="0AB6CCFD" w:rsidR="00A14AE6" w:rsidRDefault="00D33A2E" w:rsidP="00031B2A">
      <w:pPr>
        <w:pStyle w:val="BodyText"/>
        <w:jc w:val="right"/>
      </w:pPr>
      <w:r>
        <w:t>Candace Louise Curtis</w:t>
      </w:r>
      <w:r w:rsidR="00031B2A">
        <w:t>, pro se</w:t>
      </w:r>
    </w:p>
    <w:p w14:paraId="21E2C1DB" w14:textId="77777777" w:rsidR="00194570" w:rsidRDefault="00194570" w:rsidP="00194570">
      <w:pPr>
        <w:pStyle w:val="BodyText"/>
      </w:pPr>
    </w:p>
    <w:sectPr w:rsidR="00194570">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EEC82" w14:textId="77777777" w:rsidR="00D33A2E" w:rsidRDefault="00D33A2E">
      <w:pPr>
        <w:spacing w:line="240" w:lineRule="auto"/>
      </w:pPr>
      <w:r>
        <w:separator/>
      </w:r>
    </w:p>
  </w:endnote>
  <w:endnote w:type="continuationSeparator" w:id="0">
    <w:p w14:paraId="6E78BBA4" w14:textId="77777777" w:rsidR="00D33A2E" w:rsidRDefault="00D33A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4B101" w14:textId="77777777" w:rsidR="00A14AE6" w:rsidRDefault="00D33A2E">
    <w:pPr>
      <w:jc w:val="center"/>
    </w:pPr>
    <w:r>
      <w:rPr>
        <w:rStyle w:val="Hyperlink"/>
        <w:color w:val="4B5563"/>
        <w:sz w:val="20"/>
        <w:szCs w:val="20"/>
      </w:rPr>
      <w:t>https://www.cetient.com/research/e640a00d-c4ef-4f4e-ac7d-29c8d67dbb15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A43D6" w14:textId="77777777" w:rsidR="00D33A2E" w:rsidRDefault="00D33A2E">
      <w:r>
        <w:separator/>
      </w:r>
    </w:p>
  </w:footnote>
  <w:footnote w:type="continuationSeparator" w:id="0">
    <w:p w14:paraId="386BE3BD" w14:textId="77777777" w:rsidR="00D33A2E" w:rsidRDefault="00D33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081E" w14:textId="77777777" w:rsidR="00A14AE6" w:rsidRDefault="00D33A2E">
    <w:r>
      <w:rPr>
        <w:color w:val="4B5563"/>
        <w:sz w:val="20"/>
        <w:szCs w:val="20"/>
      </w:rPr>
      <w:t xml:space="preserve">Exported by Cetient Legal Research AI </w:t>
    </w:r>
    <w:r>
      <w:rPr>
        <w:rStyle w:val="Hyperlink"/>
        <w:color w:val="4B5563"/>
        <w:sz w:val="20"/>
        <w:szCs w:val="20"/>
      </w:rPr>
      <w:t>https://www.cetient.com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4790AE2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A99411"/>
    <w:multiLevelType w:val="multilevel"/>
    <w:tmpl w:val="4DAC4E10"/>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 w15:restartNumberingAfterBreak="0">
    <w:nsid w:val="00A99412"/>
    <w:multiLevelType w:val="multilevel"/>
    <w:tmpl w:val="162CF460"/>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3" w15:restartNumberingAfterBreak="0">
    <w:nsid w:val="00A99418"/>
    <w:multiLevelType w:val="multilevel"/>
    <w:tmpl w:val="924CF8E8"/>
    <w:lvl w:ilvl="0">
      <w:start w:val="8"/>
      <w:numFmt w:val="decimal"/>
      <w:lvlText w:val="%1."/>
      <w:lvlJc w:val="left"/>
      <w:pPr>
        <w:ind w:left="720" w:hanging="480"/>
      </w:pPr>
    </w:lvl>
    <w:lvl w:ilvl="1">
      <w:start w:val="8"/>
      <w:numFmt w:val="decimal"/>
      <w:lvlText w:val="%2."/>
      <w:lvlJc w:val="left"/>
      <w:pPr>
        <w:ind w:left="1440" w:hanging="480"/>
      </w:pPr>
    </w:lvl>
    <w:lvl w:ilvl="2">
      <w:start w:val="8"/>
      <w:numFmt w:val="decimal"/>
      <w:lvlText w:val="%3."/>
      <w:lvlJc w:val="left"/>
      <w:pPr>
        <w:ind w:left="2160" w:hanging="480"/>
      </w:pPr>
    </w:lvl>
    <w:lvl w:ilvl="3">
      <w:start w:val="8"/>
      <w:numFmt w:val="decimal"/>
      <w:lvlText w:val="%4."/>
      <w:lvlJc w:val="left"/>
      <w:pPr>
        <w:ind w:left="2880" w:hanging="480"/>
      </w:pPr>
    </w:lvl>
    <w:lvl w:ilvl="4">
      <w:start w:val="8"/>
      <w:numFmt w:val="decimal"/>
      <w:lvlText w:val="%5."/>
      <w:lvlJc w:val="left"/>
      <w:pPr>
        <w:ind w:left="3600" w:hanging="480"/>
      </w:pPr>
    </w:lvl>
    <w:lvl w:ilvl="5">
      <w:start w:val="8"/>
      <w:numFmt w:val="decimal"/>
      <w:lvlText w:val="%6."/>
      <w:lvlJc w:val="left"/>
      <w:pPr>
        <w:ind w:left="4320" w:hanging="480"/>
      </w:pPr>
    </w:lvl>
    <w:lvl w:ilvl="6">
      <w:start w:val="8"/>
      <w:numFmt w:val="decimal"/>
      <w:lvlText w:val="%7."/>
      <w:lvlJc w:val="left"/>
      <w:pPr>
        <w:ind w:left="5040" w:hanging="480"/>
      </w:pPr>
    </w:lvl>
    <w:lvl w:ilvl="7">
      <w:start w:val="8"/>
      <w:numFmt w:val="decimal"/>
      <w:lvlText w:val="%8."/>
      <w:lvlJc w:val="left"/>
      <w:pPr>
        <w:ind w:left="5760" w:hanging="480"/>
      </w:pPr>
    </w:lvl>
    <w:lvl w:ilvl="8">
      <w:start w:val="8"/>
      <w:numFmt w:val="decimal"/>
      <w:lvlText w:val="%9."/>
      <w:lvlJc w:val="left"/>
      <w:pPr>
        <w:ind w:left="6480" w:hanging="480"/>
      </w:pPr>
    </w:lvl>
  </w:abstractNum>
  <w:abstractNum w:abstractNumId="4" w15:restartNumberingAfterBreak="0">
    <w:nsid w:val="2C8D583E"/>
    <w:multiLevelType w:val="hybridMultilevel"/>
    <w:tmpl w:val="0AACDA48"/>
    <w:lvl w:ilvl="0" w:tplc="A474762C">
      <w:start w:val="1"/>
      <w:numFmt w:val="bullet"/>
      <w:lvlText w:val="●"/>
      <w:lvlJc w:val="left"/>
      <w:pPr>
        <w:ind w:left="720" w:hanging="360"/>
      </w:pPr>
    </w:lvl>
    <w:lvl w:ilvl="1" w:tplc="F50C9384">
      <w:start w:val="1"/>
      <w:numFmt w:val="bullet"/>
      <w:lvlText w:val="○"/>
      <w:lvlJc w:val="left"/>
      <w:pPr>
        <w:ind w:left="1440" w:hanging="360"/>
      </w:pPr>
    </w:lvl>
    <w:lvl w:ilvl="2" w:tplc="AC2A547E">
      <w:start w:val="1"/>
      <w:numFmt w:val="bullet"/>
      <w:lvlText w:val="■"/>
      <w:lvlJc w:val="left"/>
      <w:pPr>
        <w:ind w:left="2160" w:hanging="360"/>
      </w:pPr>
    </w:lvl>
    <w:lvl w:ilvl="3" w:tplc="E068727E">
      <w:start w:val="1"/>
      <w:numFmt w:val="bullet"/>
      <w:lvlText w:val="●"/>
      <w:lvlJc w:val="left"/>
      <w:pPr>
        <w:ind w:left="2880" w:hanging="360"/>
      </w:pPr>
    </w:lvl>
    <w:lvl w:ilvl="4" w:tplc="AF66922A">
      <w:start w:val="1"/>
      <w:numFmt w:val="bullet"/>
      <w:lvlText w:val="○"/>
      <w:lvlJc w:val="left"/>
      <w:pPr>
        <w:ind w:left="3600" w:hanging="360"/>
      </w:pPr>
    </w:lvl>
    <w:lvl w:ilvl="5" w:tplc="CD385294">
      <w:start w:val="1"/>
      <w:numFmt w:val="bullet"/>
      <w:lvlText w:val="■"/>
      <w:lvlJc w:val="left"/>
      <w:pPr>
        <w:ind w:left="4320" w:hanging="360"/>
      </w:pPr>
    </w:lvl>
    <w:lvl w:ilvl="6" w:tplc="91C019D6">
      <w:start w:val="1"/>
      <w:numFmt w:val="bullet"/>
      <w:lvlText w:val="●"/>
      <w:lvlJc w:val="left"/>
      <w:pPr>
        <w:ind w:left="5040" w:hanging="360"/>
      </w:pPr>
    </w:lvl>
    <w:lvl w:ilvl="7" w:tplc="6DCED536">
      <w:start w:val="1"/>
      <w:numFmt w:val="bullet"/>
      <w:lvlText w:val="●"/>
      <w:lvlJc w:val="left"/>
      <w:pPr>
        <w:ind w:left="5760" w:hanging="360"/>
      </w:pPr>
    </w:lvl>
    <w:lvl w:ilvl="8" w:tplc="15CA2372">
      <w:start w:val="1"/>
      <w:numFmt w:val="bullet"/>
      <w:lvlText w:val="●"/>
      <w:lvlJc w:val="left"/>
      <w:pPr>
        <w:ind w:left="6480" w:hanging="360"/>
      </w:pPr>
    </w:lvl>
  </w:abstractNum>
  <w:num w:numId="1">
    <w:abstractNumId w:val="4"/>
    <w:lvlOverride w:ilvl="0">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
    <w:abstractNumId w:val="3"/>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AE6"/>
    <w:rsid w:val="00031B2A"/>
    <w:rsid w:val="00194570"/>
    <w:rsid w:val="00A14AE6"/>
    <w:rsid w:val="00D33A2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77D0A"/>
  <w15:docId w15:val="{22A2D94E-D1ED-45D5-B549-1F2E6239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pPr>
    <w:rPr>
      <w:sz w:val="24"/>
      <w:szCs w:val="24"/>
    </w:rPr>
  </w:style>
  <w:style w:type="paragraph" w:styleId="Heading1">
    <w:name w:val="heading 1"/>
    <w:basedOn w:val="Normal"/>
    <w:next w:val="Normal"/>
    <w:autoRedefine/>
    <w:uiPriority w:val="9"/>
    <w:qFormat/>
    <w:rsid w:val="00031B2A"/>
    <w:pPr>
      <w:jc w:val="center"/>
      <w:outlineLvl w:val="0"/>
    </w:pPr>
    <w:rPr>
      <w:sz w:val="28"/>
      <w:szCs w:val="32"/>
    </w:rPr>
  </w:style>
  <w:style w:type="paragraph" w:styleId="Heading2">
    <w:name w:val="heading 2"/>
    <w:basedOn w:val="Normal"/>
    <w:next w:val="Normal"/>
    <w:uiPriority w:val="9"/>
    <w:semiHidden/>
    <w:unhideWhenUsed/>
    <w:qFormat/>
    <w:pPr>
      <w:outlineLvl w:val="1"/>
    </w:pPr>
    <w:rPr>
      <w:color w:val="2E74B5"/>
      <w:sz w:val="26"/>
      <w:szCs w:val="26"/>
    </w:rPr>
  </w:style>
  <w:style w:type="paragraph" w:styleId="Heading3">
    <w:name w:val="heading 3"/>
    <w:basedOn w:val="Normal"/>
    <w:next w:val="Normal"/>
    <w:uiPriority w:val="9"/>
    <w:semiHidden/>
    <w:unhideWhenUsed/>
    <w:qFormat/>
    <w:pPr>
      <w:outlineLvl w:val="2"/>
    </w:pPr>
    <w:rPr>
      <w:color w:val="1F4D78"/>
    </w:rPr>
  </w:style>
  <w:style w:type="paragraph" w:styleId="Heading4">
    <w:name w:val="heading 4"/>
    <w:basedOn w:val="Normal"/>
    <w:next w:val="Normal"/>
    <w:uiPriority w:val="9"/>
    <w:semiHidden/>
    <w:unhideWhenUsed/>
    <w:qFormat/>
    <w:pPr>
      <w:outlineLvl w:val="3"/>
    </w:pPr>
    <w:rPr>
      <w:i/>
      <w:iCs/>
      <w:color w:val="2E74B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styleId="BodyText">
    <w:name w:val="Body Text"/>
    <w:link w:val="BodyTextChar"/>
    <w:qFormat/>
    <w:pPr>
      <w:spacing w:line="480" w:lineRule="auto"/>
    </w:pPr>
    <w:rPr>
      <w:sz w:val="24"/>
      <w:szCs w:val="24"/>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customStyle="1" w:styleId="BodyTextChar">
    <w:name w:val="Body Text Char"/>
    <w:basedOn w:val="DefaultParagraphFont"/>
    <w:link w:val="BodyText"/>
    <w:rsid w:val="00031B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687</Words>
  <Characters>3720</Characters>
  <Application>Microsoft Office Word</Application>
  <DocSecurity>0</DocSecurity>
  <Lines>112</Lines>
  <Paragraphs>53</Paragraphs>
  <ScaleCrop>false</ScaleCrop>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Rik</cp:lastModifiedBy>
  <cp:revision>3</cp:revision>
  <dcterms:created xsi:type="dcterms:W3CDTF">2025-10-01T17:28:00Z</dcterms:created>
  <dcterms:modified xsi:type="dcterms:W3CDTF">2025-10-06T19:13:00Z</dcterms:modified>
</cp:coreProperties>
</file>