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E" w:rsidRPr="00350F91" w:rsidRDefault="00CF6AAE" w:rsidP="00F06B38">
      <w:pPr>
        <w:widowControl/>
        <w:spacing w:before="100" w:beforeAutospacing="1" w:after="100" w:afterAutospacing="1" w:line="240" w:lineRule="auto"/>
        <w:ind w:firstLine="0"/>
        <w:jc w:val="left"/>
        <w:textboxTightWrap w:val="none"/>
        <w:rPr>
          <w:color w:val="auto"/>
          <w:szCs w:val="24"/>
        </w:rPr>
      </w:pPr>
      <w:r w:rsidRPr="00CF6AAE">
        <w:rPr>
          <w:color w:val="auto"/>
          <w:szCs w:val="24"/>
        </w:rPr>
        <w:t>Certified copy</w:t>
      </w:r>
      <w:r w:rsidRPr="00350F91">
        <w:rPr>
          <w:color w:val="auto"/>
          <w:szCs w:val="24"/>
        </w:rPr>
        <w:t xml:space="preserve"> of</w:t>
      </w:r>
      <w:r w:rsidRPr="00CF6AAE">
        <w:rPr>
          <w:color w:val="auto"/>
          <w:szCs w:val="24"/>
        </w:rPr>
        <w:t>:</w:t>
      </w:r>
    </w:p>
    <w:p w:rsidR="006F59DC" w:rsidRPr="00350F91" w:rsidRDefault="006F59DC" w:rsidP="007D3B36">
      <w:pPr>
        <w:keepLines/>
        <w:spacing w:after="120" w:line="240" w:lineRule="auto"/>
        <w:ind w:firstLine="0"/>
        <w:outlineLvl w:val="1"/>
        <w:rPr>
          <w:b/>
          <w:bCs/>
          <w:color w:val="auto"/>
          <w:sz w:val="28"/>
          <w:szCs w:val="28"/>
        </w:rPr>
      </w:pPr>
      <w:r w:rsidRPr="006F59DC">
        <w:rPr>
          <w:b/>
          <w:bCs/>
          <w:color w:val="auto"/>
          <w:sz w:val="28"/>
          <w:szCs w:val="28"/>
        </w:rPr>
        <w:t>Southern District of Texas No. 4:12-</w:t>
      </w:r>
      <w:proofErr w:type="gramStart"/>
      <w:r w:rsidRPr="006F59DC">
        <w:rPr>
          <w:b/>
          <w:bCs/>
          <w:color w:val="auto"/>
          <w:sz w:val="28"/>
          <w:szCs w:val="28"/>
        </w:rPr>
        <w:t>cv-</w:t>
      </w:r>
      <w:proofErr w:type="gramEnd"/>
      <w:r w:rsidRPr="006F59DC">
        <w:rPr>
          <w:b/>
          <w:bCs/>
          <w:color w:val="auto"/>
          <w:sz w:val="28"/>
          <w:szCs w:val="28"/>
        </w:rPr>
        <w:t>592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 xml:space="preserve">February 27, 2012 Curtis v Brunsting Southern District of Texas, Houston Division No. 4:12-cv-592 </w:t>
      </w:r>
      <w:r w:rsidR="00E23F39" w:rsidRPr="00350F91">
        <w:t>[Doc 1]</w:t>
      </w:r>
      <w:r w:rsidR="00A05B2C" w:rsidRPr="00350F91">
        <w:t xml:space="preserve"> </w:t>
      </w:r>
      <w:r w:rsidR="006D5A34" w:rsidRPr="00350F91">
        <w:t>see Tab 26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>Curtis v Brunsting 704 F.3d 406 (5th Cir. January 9, 2013) [ROA.12-20164]</w:t>
      </w:r>
      <w:r w:rsidR="00D025EA" w:rsidRPr="00350F91">
        <w:t xml:space="preserve"> [Doc 24]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>April 19, 2013 Memorandum of Preliminary Injunction issued Southern District of Texas, Houston Division No. 4:12-cv-592</w:t>
      </w:r>
      <w:r w:rsidR="00D025EA" w:rsidRPr="00350F91">
        <w:t xml:space="preserve"> </w:t>
      </w:r>
      <w:r w:rsidR="00D025EA" w:rsidRPr="00350F91">
        <w:t>[Doc 4</w:t>
      </w:r>
      <w:r w:rsidR="00D025EA" w:rsidRPr="00350F91">
        <w:t>5</w:t>
      </w:r>
      <w:r w:rsidR="00D025EA" w:rsidRPr="00350F91">
        <w:t>]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>May 9, 2013 Case 4-12-cv-592 [Doc 55] Order Appointing West - Special Master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 xml:space="preserve">August 8, 2013 Case  4-12-cv-592 </w:t>
      </w:r>
      <w:r w:rsidR="00E23F39" w:rsidRPr="00350F91">
        <w:t>[</w:t>
      </w:r>
      <w:r w:rsidRPr="00350F91">
        <w:t>Doc 62</w:t>
      </w:r>
      <w:r w:rsidR="00E23F39" w:rsidRPr="00350F91">
        <w:t>]</w:t>
      </w:r>
      <w:r w:rsidRPr="00350F91">
        <w:t xml:space="preserve"> Report of Special Master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>2013-09-03 Hearing on Masters Report TRANSCRIPT</w:t>
      </w:r>
      <w:r w:rsidR="00D025EA" w:rsidRPr="00350F91">
        <w:t xml:space="preserve"> [Doc 8</w:t>
      </w:r>
      <w:r w:rsidR="00E23F39" w:rsidRPr="00350F91">
        <w:t>4</w:t>
      </w:r>
      <w:r w:rsidR="00D025EA" w:rsidRPr="00350F91">
        <w:t>]</w:t>
      </w:r>
    </w:p>
    <w:p w:rsidR="006F59DC" w:rsidRPr="00350F91" w:rsidRDefault="006F59DC" w:rsidP="007D3B36">
      <w:pPr>
        <w:pStyle w:val="NoSpacing"/>
        <w:numPr>
          <w:ilvl w:val="0"/>
          <w:numId w:val="41"/>
        </w:numPr>
      </w:pPr>
      <w:r w:rsidRPr="00350F91">
        <w:t xml:space="preserve">January 6, 2014 Case 412-cv-00592 </w:t>
      </w:r>
      <w:r w:rsidR="00D025EA" w:rsidRPr="00350F91">
        <w:t>[</w:t>
      </w:r>
      <w:r w:rsidRPr="00350F91">
        <w:t>Doc 95</w:t>
      </w:r>
      <w:r w:rsidR="00D025EA" w:rsidRPr="00350F91">
        <w:t>]</w:t>
      </w:r>
      <w:r w:rsidRPr="00350F91">
        <w:t xml:space="preserve"> Appearance of Jason Ostrom</w:t>
      </w:r>
    </w:p>
    <w:p w:rsidR="0090178D" w:rsidRPr="00350F91" w:rsidRDefault="0090178D" w:rsidP="0090178D">
      <w:pPr>
        <w:pStyle w:val="NoSpacing"/>
        <w:numPr>
          <w:ilvl w:val="0"/>
          <w:numId w:val="41"/>
        </w:numPr>
      </w:pPr>
      <w:r w:rsidRPr="00350F91">
        <w:t xml:space="preserve">May 9, </w:t>
      </w:r>
      <w:r w:rsidR="006F59DC" w:rsidRPr="00350F91">
        <w:t xml:space="preserve">2014  Case 4-12-cv-592 </w:t>
      </w:r>
      <w:r w:rsidR="00D025EA" w:rsidRPr="00350F91">
        <w:t>[</w:t>
      </w:r>
      <w:r w:rsidR="006F59DC" w:rsidRPr="00350F91">
        <w:t>DOC 108</w:t>
      </w:r>
      <w:r w:rsidR="00D025EA" w:rsidRPr="00350F91">
        <w:t>]</w:t>
      </w:r>
      <w:r w:rsidR="006F59DC" w:rsidRPr="00350F91">
        <w:t xml:space="preserve"> Ostrom 1st amended complaint federal</w:t>
      </w:r>
      <w:r w:rsidRPr="00350F91">
        <w:t xml:space="preserve"> and</w:t>
      </w:r>
    </w:p>
    <w:p w:rsidR="006F59DC" w:rsidRPr="00350F91" w:rsidRDefault="006F59DC" w:rsidP="0090178D">
      <w:pPr>
        <w:pStyle w:val="NoSpacing"/>
        <w:numPr>
          <w:ilvl w:val="0"/>
          <w:numId w:val="41"/>
        </w:numPr>
      </w:pPr>
      <w:r w:rsidRPr="00350F91">
        <w:t>[Doc 109] Ostrom</w:t>
      </w:r>
      <w:r w:rsidR="0090178D" w:rsidRPr="00350F91">
        <w:t>’s</w:t>
      </w:r>
      <w:r w:rsidRPr="00350F91">
        <w:t xml:space="preserve"> Motion to Remand</w:t>
      </w:r>
    </w:p>
    <w:p w:rsidR="00CF6AAE" w:rsidRPr="00350F91" w:rsidRDefault="00CF6AAE" w:rsidP="006F59DC">
      <w:pPr>
        <w:pStyle w:val="Heading2"/>
      </w:pPr>
      <w:r w:rsidRPr="00350F91">
        <w:t>No. 412,248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 xml:space="preserve">Docket in 412248 estate of Elmer H. Brunsting 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The Will of Elmer H. Brunsting [No. 412,248] filed April 2, 2012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Statement of death and other facts, estate of Elmer H. Brunsting  [No. 412,248]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 xml:space="preserve">August 15, 2012 Application to Probate Will and Issue Letters Testamentary in estate of Elmer H. Brunsting [No. 412,248] 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August 28, 2012 order admitting the will of Elmer H. Brunsting [No. 412,248] and issuing Letters Testamentary to Carl Henry Brunsting as “Independent Executor”.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Order approving the inventory, appraisement and list of claims in estate of Elmer H. Brunsting [No. 412,248] entered April 4, 2013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Drop Order issued April 5, 2013 in estate of Elmer H. Brunsting [No. 412,248]</w:t>
      </w:r>
    </w:p>
    <w:p w:rsidR="00CF6AAE" w:rsidRPr="00350F91" w:rsidRDefault="00CF6AAE" w:rsidP="006F59DC">
      <w:pPr>
        <w:pStyle w:val="Heading2"/>
      </w:pPr>
      <w:r w:rsidRPr="00350F91">
        <w:t>No. 412,249</w:t>
      </w:r>
    </w:p>
    <w:p w:rsidR="00CF6AAE" w:rsidRPr="00350F91" w:rsidRDefault="00CF6AAE" w:rsidP="00162B22">
      <w:pPr>
        <w:pStyle w:val="TOC"/>
      </w:pPr>
      <w:r w:rsidRPr="00350F91">
        <w:t>Docket sheet</w:t>
      </w:r>
      <w:r w:rsidR="009526F7" w:rsidRPr="00350F91">
        <w:t>s</w:t>
      </w:r>
      <w:r w:rsidRPr="00350F91">
        <w:t xml:space="preserve"> in 412249 estate of Nelva E. Brunsting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>The Will of Nelva E. Brunsting [No. 412,249] filed April 2, 201</w:t>
      </w:r>
    </w:p>
    <w:p w:rsidR="00CF6AAE" w:rsidRPr="00350F91" w:rsidRDefault="00CF6AAE" w:rsidP="00162B22">
      <w:pPr>
        <w:pStyle w:val="TOC"/>
        <w:rPr>
          <w:highlight w:val="yellow"/>
        </w:rPr>
      </w:pPr>
      <w:r w:rsidRPr="00350F91">
        <w:rPr>
          <w:highlight w:val="yellow"/>
        </w:rPr>
        <w:t xml:space="preserve">Statement of death and other facts, estate of Nelva E. Brunsting [No. 412,249] </w:t>
      </w:r>
    </w:p>
    <w:p w:rsidR="00CF6AAE" w:rsidRPr="00F4285C" w:rsidRDefault="00CF6AAE" w:rsidP="00162B22">
      <w:pPr>
        <w:pStyle w:val="TOC"/>
        <w:rPr>
          <w:highlight w:val="yellow"/>
        </w:rPr>
      </w:pPr>
      <w:r w:rsidRPr="00F4285C">
        <w:rPr>
          <w:highlight w:val="yellow"/>
        </w:rPr>
        <w:t>August 15, 2012 Application to Probate Will and Issue Letters Testamentary in estate of Nelva E. B</w:t>
      </w:r>
      <w:bookmarkStart w:id="0" w:name="_GoBack"/>
      <w:bookmarkEnd w:id="0"/>
      <w:r w:rsidRPr="00F4285C">
        <w:rPr>
          <w:highlight w:val="yellow"/>
        </w:rPr>
        <w:t>runsting [No. 412,249]</w:t>
      </w:r>
    </w:p>
    <w:p w:rsidR="00CF6AAE" w:rsidRPr="00F4285C" w:rsidRDefault="00CF6AAE" w:rsidP="00F4285C">
      <w:pPr>
        <w:pStyle w:val="TOC"/>
        <w:rPr>
          <w:highlight w:val="yellow"/>
        </w:rPr>
      </w:pPr>
      <w:r w:rsidRPr="00F4285C">
        <w:rPr>
          <w:highlight w:val="yellow"/>
        </w:rPr>
        <w:lastRenderedPageBreak/>
        <w:t>August 28, 2012 order admitting the will of Nelva E. Brunsting [No. 412,249] and issuing Letters Testamentary to Carl Henry Brunsting as “Independent Executor”</w:t>
      </w:r>
      <w:r w:rsidR="00367098" w:rsidRPr="00F4285C">
        <w:rPr>
          <w:highlight w:val="yellow"/>
        </w:rPr>
        <w:t xml:space="preserve"> Certified</w:t>
      </w:r>
      <w:r w:rsidRPr="00F4285C">
        <w:rPr>
          <w:highlight w:val="yellow"/>
        </w:rPr>
        <w:t>.</w:t>
      </w:r>
      <w:r w:rsidR="00F4285C">
        <w:rPr>
          <w:highlight w:val="yellow"/>
        </w:rPr>
        <w:t xml:space="preserve"> </w:t>
      </w:r>
      <w:r w:rsidR="00F4285C" w:rsidRPr="00F4285C">
        <w:t>2012-08-28 PBT-2012-287037 Order Admitting Will and Issuing letters to Carl</w:t>
      </w:r>
    </w:p>
    <w:p w:rsidR="00CF6AAE" w:rsidRPr="00350F91" w:rsidRDefault="00CF6AAE" w:rsidP="00162B22">
      <w:pPr>
        <w:pStyle w:val="TOC"/>
      </w:pPr>
      <w:r w:rsidRPr="00350F91">
        <w:t>Order approving the inventory, appraisement and list of claims in estate of Nelva E. Brunsting [No. 412,249] entered April 4, 2013</w:t>
      </w:r>
      <w:r w:rsidR="00367098" w:rsidRPr="00350F91">
        <w:t xml:space="preserve"> Certified</w:t>
      </w:r>
    </w:p>
    <w:p w:rsidR="00CF6AAE" w:rsidRPr="00350F91" w:rsidRDefault="00CF6AAE" w:rsidP="00162B22">
      <w:pPr>
        <w:pStyle w:val="TOC"/>
      </w:pPr>
      <w:r w:rsidRPr="00350F91">
        <w:t>Drop Order issued April 5, 2013 in estate of Nelva E. Brunsting [No. 412,249]</w:t>
      </w:r>
      <w:r w:rsidR="00367098" w:rsidRPr="00350F91">
        <w:t xml:space="preserve"> Certified</w:t>
      </w:r>
    </w:p>
    <w:p w:rsidR="00197CE8" w:rsidRPr="00350F91" w:rsidRDefault="00197CE8" w:rsidP="00162B22">
      <w:pPr>
        <w:pStyle w:val="TOC"/>
      </w:pPr>
      <w:r w:rsidRPr="00350F91">
        <w:t>2014-06-05 Motion to Enter Transfer and Order Accepting Transfer 412249 Certified</w:t>
      </w:r>
    </w:p>
    <w:p w:rsidR="006E0DE5" w:rsidRPr="00350F91" w:rsidRDefault="0086338E" w:rsidP="00162B22">
      <w:pPr>
        <w:pStyle w:val="TOC"/>
      </w:pPr>
      <w:r w:rsidRPr="00350F91">
        <w:t>2015-02-09  PBT-2015-47608 Notice of plaintiff's filing of original Petition</w:t>
      </w:r>
    </w:p>
    <w:p w:rsidR="00CF6AAE" w:rsidRPr="00350F91" w:rsidRDefault="00CF6AAE" w:rsidP="006F59DC">
      <w:pPr>
        <w:pStyle w:val="Heading2"/>
      </w:pPr>
      <w:r w:rsidRPr="00350F91">
        <w:t>No. 412,249-401</w:t>
      </w:r>
    </w:p>
    <w:p w:rsidR="00CF6AAE" w:rsidRPr="00350F91" w:rsidRDefault="00CF6AAE" w:rsidP="00162B22">
      <w:pPr>
        <w:pStyle w:val="TOC"/>
      </w:pPr>
      <w:r w:rsidRPr="00350F91">
        <w:t>Docket</w:t>
      </w:r>
      <w:r w:rsidR="009526F7" w:rsidRPr="00350F91">
        <w:t xml:space="preserve"> sheets</w:t>
      </w:r>
      <w:r w:rsidRPr="00350F91">
        <w:t xml:space="preserve"> in 412</w:t>
      </w:r>
      <w:r w:rsidR="00B72010" w:rsidRPr="00350F91">
        <w:t>,</w:t>
      </w:r>
      <w:r w:rsidRPr="00350F91">
        <w:t>249-401 Carl Brunsting Individually and as Independent executor for the estates of Elmer H. Brunsting and Nelva E. Brunsting</w:t>
      </w:r>
      <w:r w:rsidR="00E52C4A" w:rsidRPr="00350F91">
        <w:t xml:space="preserve"> Certified 2019-08-22</w:t>
      </w:r>
      <w:r w:rsidR="00B72010" w:rsidRPr="00350F91">
        <w:t>.</w:t>
      </w:r>
    </w:p>
    <w:p w:rsidR="009D603D" w:rsidRPr="00350F91" w:rsidRDefault="009D603D" w:rsidP="00162B22">
      <w:pPr>
        <w:pStyle w:val="TOC"/>
      </w:pPr>
      <w:r w:rsidRPr="00350F91">
        <w:t>The initial pleading filed April 9, 2013 by Carl Henry Brunsting “individually  and as independent executor” No. 412,249-401 (</w:t>
      </w:r>
      <w:r w:rsidRPr="00350F91">
        <w:rPr>
          <w:b/>
        </w:rPr>
        <w:t>Missed statute of limitations for Elmer by 8 days</w:t>
      </w:r>
      <w:r w:rsidRPr="00350F91">
        <w:t>)</w:t>
      </w:r>
    </w:p>
    <w:p w:rsidR="0090178D" w:rsidRPr="00350F91" w:rsidRDefault="0090178D" w:rsidP="00162B22">
      <w:pPr>
        <w:pStyle w:val="TOC"/>
      </w:pPr>
      <w:r w:rsidRPr="00350F91">
        <w:t>December 5, 2014 Defendants objection</w:t>
      </w:r>
      <w:r w:rsidRPr="00350F91">
        <w:t xml:space="preserve"> to applications for trust distribution</w:t>
      </w:r>
    </w:p>
    <w:p w:rsidR="00CF5178" w:rsidRPr="00350F91" w:rsidRDefault="00CF5178" w:rsidP="00162B22">
      <w:pPr>
        <w:pStyle w:val="TOC"/>
      </w:pPr>
      <w:r w:rsidRPr="00350F91">
        <w:t>February 17, 2015 Independent executor Carl Henry Brunsting tendered his resignation, and substituted his wife Drina as his attorney in fact. Carl’s application to resign was approved February 19, 2015</w:t>
      </w:r>
    </w:p>
    <w:p w:rsidR="00550040" w:rsidRPr="00350F91" w:rsidRDefault="00550040" w:rsidP="00162B22">
      <w:pPr>
        <w:pStyle w:val="TOC"/>
      </w:pPr>
      <w:r w:rsidRPr="00350F91">
        <w:t xml:space="preserve">February 20, 2015, </w:t>
      </w:r>
      <w:r w:rsidRPr="00350F91">
        <w:t>A</w:t>
      </w:r>
      <w:r w:rsidRPr="00350F91">
        <w:t xml:space="preserve">greed </w:t>
      </w:r>
      <w:r w:rsidRPr="00350F91">
        <w:t>D</w:t>
      </w:r>
      <w:r w:rsidRPr="00350F91">
        <w:t xml:space="preserve">ocket </w:t>
      </w:r>
      <w:r w:rsidRPr="00350F91">
        <w:t>C</w:t>
      </w:r>
      <w:r w:rsidRPr="00350F91">
        <w:t xml:space="preserve">ontrol </w:t>
      </w:r>
      <w:r w:rsidRPr="00350F91">
        <w:t>O</w:t>
      </w:r>
      <w:r w:rsidRPr="00350F91">
        <w:t>rder</w:t>
      </w:r>
      <w:r w:rsidR="00670D01" w:rsidRPr="00350F91">
        <w:t xml:space="preserve"> DCO</w:t>
      </w:r>
    </w:p>
    <w:p w:rsidR="00A1312A" w:rsidRPr="00350F91" w:rsidRDefault="009526F7" w:rsidP="00162B22">
      <w:pPr>
        <w:pStyle w:val="TOC"/>
      </w:pPr>
      <w:r w:rsidRPr="00350F91">
        <w:t xml:space="preserve">2014-06-05 412249-401 Motion to Enter Transfer </w:t>
      </w:r>
      <w:r w:rsidR="00E55E80" w:rsidRPr="00350F91">
        <w:t xml:space="preserve">Order </w:t>
      </w:r>
      <w:r w:rsidRPr="00350F91">
        <w:t>and Order Accepting Transfer Certified</w:t>
      </w:r>
    </w:p>
    <w:p w:rsidR="00197CE8" w:rsidRPr="00350F91" w:rsidRDefault="00550040" w:rsidP="00162B22">
      <w:pPr>
        <w:pStyle w:val="TOC"/>
      </w:pPr>
      <w:r w:rsidRPr="00350F91">
        <w:t xml:space="preserve">March 5, </w:t>
      </w:r>
      <w:r w:rsidR="00197CE8" w:rsidRPr="00350F91">
        <w:t>2015 Agreed Order to Consolidate 412249-402 into 412249-401_signed Certified</w:t>
      </w:r>
    </w:p>
    <w:p w:rsidR="00E24A43" w:rsidRPr="00350F91" w:rsidRDefault="00E24A43" w:rsidP="00162B22">
      <w:pPr>
        <w:pStyle w:val="TOC"/>
      </w:pPr>
      <w:r w:rsidRPr="00350F91">
        <w:t>June 26, 2015 Defendant Co-Trustees no-evidence motion for summary judgment</w:t>
      </w:r>
    </w:p>
    <w:p w:rsidR="00550040" w:rsidRPr="00350F91" w:rsidRDefault="00550040" w:rsidP="00162B22">
      <w:pPr>
        <w:pStyle w:val="TOC"/>
      </w:pPr>
      <w:r w:rsidRPr="00350F91">
        <w:t xml:space="preserve">July 13, 2015 Plaintiff Carl Brunsting Notice of </w:t>
      </w:r>
      <w:r w:rsidRPr="00350F91">
        <w:t>H</w:t>
      </w:r>
      <w:r w:rsidRPr="00350F91">
        <w:t xml:space="preserve">earing setting </w:t>
      </w:r>
      <w:r w:rsidRPr="00350F91">
        <w:t xml:space="preserve">his </w:t>
      </w:r>
      <w:r w:rsidRPr="00350F91">
        <w:t>dispositive motion for August 3, 2015</w:t>
      </w:r>
    </w:p>
    <w:p w:rsidR="00550040" w:rsidRPr="00350F91" w:rsidRDefault="00550040" w:rsidP="00162B22">
      <w:pPr>
        <w:pStyle w:val="TOC"/>
      </w:pPr>
      <w:r w:rsidRPr="00350F91">
        <w:t>July 13, 2015 Defendant</w:t>
      </w:r>
      <w:r w:rsidRPr="00350F91">
        <w:t xml:space="preserve"> Co-Trustees</w:t>
      </w:r>
      <w:r w:rsidRPr="00350F91">
        <w:t xml:space="preserve"> Notice of </w:t>
      </w:r>
      <w:r w:rsidRPr="00350F91">
        <w:t>H</w:t>
      </w:r>
      <w:r w:rsidRPr="00350F91">
        <w:t>earing</w:t>
      </w:r>
      <w:r w:rsidRPr="00350F91">
        <w:t xml:space="preserve"> setting their dispositive motions for August 3, 2015</w:t>
      </w:r>
    </w:p>
    <w:p w:rsidR="00550040" w:rsidRPr="00350F91" w:rsidRDefault="00550040" w:rsidP="00162B22">
      <w:pPr>
        <w:pStyle w:val="TOC"/>
      </w:pPr>
      <w:r w:rsidRPr="00350F91">
        <w:t>July 13, 2015</w:t>
      </w:r>
      <w:r w:rsidRPr="00350F91">
        <w:t xml:space="preserve"> relator</w:t>
      </w:r>
      <w:r w:rsidR="00162B22" w:rsidRPr="00350F91">
        <w:t xml:space="preserve">’s </w:t>
      </w:r>
      <w:r w:rsidRPr="00350F91">
        <w:t xml:space="preserve">answer to </w:t>
      </w:r>
      <w:r w:rsidR="00162B22" w:rsidRPr="00350F91">
        <w:t>Defendant Co-Trustees no-evidence motion</w:t>
      </w:r>
    </w:p>
    <w:p w:rsidR="0024049E" w:rsidRPr="00350F91" w:rsidRDefault="0024049E" w:rsidP="00162B22">
      <w:pPr>
        <w:pStyle w:val="TOC"/>
      </w:pPr>
      <w:r w:rsidRPr="00350F91">
        <w:t xml:space="preserve">August 3, 2015 reporter record of hearing on </w:t>
      </w:r>
      <w:r w:rsidRPr="00350F91">
        <w:t>emergency motion for a protective order</w:t>
      </w:r>
    </w:p>
    <w:p w:rsidR="00B2006C" w:rsidRPr="00350F91" w:rsidRDefault="00B2006C" w:rsidP="00162B22">
      <w:pPr>
        <w:pStyle w:val="TOC"/>
      </w:pPr>
      <w:r w:rsidRPr="00350F91">
        <w:t xml:space="preserve">August 17, 2018 </w:t>
      </w:r>
      <w:r w:rsidRPr="00350F91">
        <w:t>Relator’s pro se P</w:t>
      </w:r>
      <w:r w:rsidRPr="00350F91">
        <w:t xml:space="preserve">lea in </w:t>
      </w:r>
      <w:r w:rsidRPr="00350F91">
        <w:t>A</w:t>
      </w:r>
      <w:r w:rsidRPr="00350F91">
        <w:t>batement</w:t>
      </w:r>
    </w:p>
    <w:p w:rsidR="00B2006C" w:rsidRPr="00350F91" w:rsidRDefault="0014339A" w:rsidP="00162B22">
      <w:pPr>
        <w:pStyle w:val="TOC"/>
      </w:pPr>
      <w:r w:rsidRPr="00350F91">
        <w:lastRenderedPageBreak/>
        <w:t xml:space="preserve">2018-09-04 </w:t>
      </w:r>
      <w:r w:rsidRPr="00350F91">
        <w:t xml:space="preserve">Relator’s pro se </w:t>
      </w:r>
      <w:r w:rsidRPr="00350F91">
        <w:t xml:space="preserve"> Addendum to Plea in Abatement</w:t>
      </w:r>
    </w:p>
    <w:p w:rsidR="0014339A" w:rsidRPr="00350F91" w:rsidRDefault="0014339A" w:rsidP="00162B22">
      <w:pPr>
        <w:pStyle w:val="TOC"/>
      </w:pPr>
      <w:r w:rsidRPr="00350F91">
        <w:t xml:space="preserve">2018-10-08 </w:t>
      </w:r>
      <w:r w:rsidRPr="00350F91">
        <w:t xml:space="preserve">Relator </w:t>
      </w:r>
      <w:r w:rsidRPr="00350F91">
        <w:t>Verified her Plea in Abatement Certified 8-22-2019</w:t>
      </w:r>
    </w:p>
    <w:p w:rsidR="0014339A" w:rsidRPr="00350F91" w:rsidRDefault="0014339A" w:rsidP="00162B22">
      <w:pPr>
        <w:pStyle w:val="TOC"/>
      </w:pPr>
      <w:r w:rsidRPr="00350F91">
        <w:t>2018-10-19 Plea to the Jurisdiction</w:t>
      </w:r>
    </w:p>
    <w:p w:rsidR="00670D01" w:rsidRPr="00350F91" w:rsidRDefault="00670D01" w:rsidP="00670D01">
      <w:pPr>
        <w:pStyle w:val="Heading2"/>
      </w:pPr>
      <w:r w:rsidRPr="00350F91">
        <w:t>The Honorable James Horwitz is elected presiding judge for Probate Court No. 4</w:t>
      </w:r>
    </w:p>
    <w:p w:rsidR="009D603D" w:rsidRPr="00350F91" w:rsidRDefault="009D603D" w:rsidP="00162B22">
      <w:pPr>
        <w:pStyle w:val="TOC"/>
      </w:pPr>
      <w:r w:rsidRPr="00350F91">
        <w:t>2019-02-14 February 14, 2019 Order d</w:t>
      </w:r>
      <w:r w:rsidR="0014339A" w:rsidRPr="00350F91">
        <w:t>enyi</w:t>
      </w:r>
      <w:r w:rsidRPr="00350F91">
        <w:t>ng Curtis pleas to the jurisdiction and in abatement</w:t>
      </w:r>
    </w:p>
    <w:p w:rsidR="00B60156" w:rsidRPr="00350F91" w:rsidRDefault="00491BFD" w:rsidP="00162B22">
      <w:pPr>
        <w:pStyle w:val="TOC"/>
      </w:pPr>
      <w:r w:rsidRPr="00350F91">
        <w:t xml:space="preserve">November 4, </w:t>
      </w:r>
      <w:r w:rsidR="00B60156" w:rsidRPr="00350F91">
        <w:t>2019 Defendant Co-Trustees, Amy &amp; Anita Brunsting Orig. Counterclaim</w:t>
      </w:r>
    </w:p>
    <w:p w:rsidR="00076924" w:rsidRPr="00350F91" w:rsidRDefault="00076924" w:rsidP="00162B22">
      <w:pPr>
        <w:pStyle w:val="TOC"/>
      </w:pPr>
      <w:r w:rsidRPr="00350F91">
        <w:t xml:space="preserve">June 10, 2021 DCO </w:t>
      </w:r>
    </w:p>
    <w:p w:rsidR="009D603D" w:rsidRPr="00350F91" w:rsidRDefault="00B60156" w:rsidP="00162B22">
      <w:pPr>
        <w:pStyle w:val="TOC"/>
      </w:pPr>
      <w:r w:rsidRPr="00350F91">
        <w:t>2021-10-15 Plaintiff Candace Louise Curtis Answer to Defendants Counter Claims</w:t>
      </w:r>
    </w:p>
    <w:p w:rsidR="00197CE8" w:rsidRPr="00350F91" w:rsidRDefault="00197CE8" w:rsidP="00162B22">
      <w:pPr>
        <w:pStyle w:val="TOC"/>
      </w:pPr>
      <w:r w:rsidRPr="00350F91">
        <w:t>2021-12-05 Rule 11 Agreement Certified 18210428</w:t>
      </w:r>
    </w:p>
    <w:p w:rsidR="00197CE8" w:rsidRPr="00350F91" w:rsidRDefault="00197CE8" w:rsidP="00162B22">
      <w:pPr>
        <w:pStyle w:val="TOC"/>
      </w:pPr>
      <w:r w:rsidRPr="00350F91">
        <w:t>2022-01-06 Application to Sever Certified 18292335</w:t>
      </w:r>
    </w:p>
    <w:p w:rsidR="008949C3" w:rsidRPr="00350F91" w:rsidRDefault="00367098" w:rsidP="00162B22">
      <w:pPr>
        <w:pStyle w:val="TOC"/>
      </w:pPr>
      <w:r w:rsidRPr="00350F91">
        <w:t>February 25, 2022 Order for Summary Judgment</w:t>
      </w:r>
    </w:p>
    <w:p w:rsidR="00197CE8" w:rsidRPr="00350F91" w:rsidRDefault="00197CE8" w:rsidP="00162B22">
      <w:pPr>
        <w:pStyle w:val="TOC"/>
      </w:pPr>
      <w:r w:rsidRPr="00350F91">
        <w:t xml:space="preserve">2022-03-14  </w:t>
      </w:r>
      <w:r w:rsidR="00367098" w:rsidRPr="00350F91">
        <w:t xml:space="preserve">Severance Order Certified  </w:t>
      </w:r>
      <w:r w:rsidRPr="00350F91">
        <w:t>2022-03-27</w:t>
      </w:r>
    </w:p>
    <w:p w:rsidR="00F75931" w:rsidRPr="00350F91" w:rsidRDefault="00F75931" w:rsidP="00F75931">
      <w:pPr>
        <w:pStyle w:val="TOC"/>
      </w:pPr>
      <w:r w:rsidRPr="00350F91">
        <w:t xml:space="preserve">2022-03-27 Curtis motion to vacate the February 25, 2022 </w:t>
      </w:r>
      <w:r w:rsidRPr="00350F91">
        <w:t>Summary Judgment</w:t>
      </w:r>
      <w:r w:rsidRPr="00350F91">
        <w:t xml:space="preserve"> Order</w:t>
      </w:r>
    </w:p>
    <w:p w:rsidR="00CB0474" w:rsidRPr="00350F91" w:rsidRDefault="00CB0474" w:rsidP="00162B22">
      <w:pPr>
        <w:pStyle w:val="TOC"/>
      </w:pPr>
      <w:r w:rsidRPr="00350F91">
        <w:t xml:space="preserve">2022-03-31 Transcript </w:t>
      </w:r>
      <w:r w:rsidR="009439AC" w:rsidRPr="00350F91">
        <w:t>–</w:t>
      </w:r>
      <w:r w:rsidRPr="00350F91">
        <w:t xml:space="preserve"> Pre</w:t>
      </w:r>
      <w:r w:rsidR="009439AC" w:rsidRPr="00350F91">
        <w:t>-</w:t>
      </w:r>
      <w:r w:rsidRPr="00350F91">
        <w:t>Trial Conference</w:t>
      </w:r>
    </w:p>
    <w:p w:rsidR="00CB0474" w:rsidRPr="00350F91" w:rsidRDefault="00CB0474" w:rsidP="00162B22">
      <w:pPr>
        <w:pStyle w:val="TOC"/>
      </w:pPr>
      <w:r w:rsidRPr="00350F91">
        <w:t>2022-04-08 Order Deny Motion to Vacate</w:t>
      </w:r>
    </w:p>
    <w:p w:rsidR="00197CE8" w:rsidRPr="00350F91" w:rsidRDefault="00197CE8" w:rsidP="006F59DC">
      <w:pPr>
        <w:pStyle w:val="Heading2"/>
      </w:pPr>
      <w:r w:rsidRPr="00350F91">
        <w:t>No. 412,249-40</w:t>
      </w:r>
      <w:r w:rsidRPr="00350F91">
        <w:t>2</w:t>
      </w:r>
    </w:p>
    <w:p w:rsidR="00CF6AAE" w:rsidRPr="00350F91" w:rsidRDefault="00197CE8" w:rsidP="00162B22">
      <w:pPr>
        <w:pStyle w:val="TOC"/>
      </w:pPr>
      <w:r w:rsidRPr="00350F91">
        <w:t>2015-02-09 Docket sheet</w:t>
      </w:r>
      <w:r w:rsidR="009526F7" w:rsidRPr="00350F91">
        <w:t>s</w:t>
      </w:r>
      <w:r w:rsidRPr="00350F91">
        <w:t xml:space="preserve"> 412249-402 Certified 2019-08-22</w:t>
      </w:r>
    </w:p>
    <w:p w:rsidR="001E2F8C" w:rsidRPr="00350F91" w:rsidRDefault="001E2F8C" w:rsidP="001E2F8C">
      <w:pPr>
        <w:pStyle w:val="TOC"/>
      </w:pPr>
      <w:r w:rsidRPr="00350F91">
        <w:t>2015-02-06 PBT-2015-47630 Notice of filing of injunction and Report of Master</w:t>
      </w:r>
    </w:p>
    <w:p w:rsidR="00197CE8" w:rsidRPr="00350F91" w:rsidRDefault="00197CE8" w:rsidP="00162B22">
      <w:pPr>
        <w:pStyle w:val="TOC"/>
      </w:pPr>
      <w:r w:rsidRPr="00350F91">
        <w:t>2018-10-08 Plea in Abatement 412249-402 Certified 8-22-2019</w:t>
      </w:r>
    </w:p>
    <w:p w:rsidR="009D603D" w:rsidRPr="00350F91" w:rsidRDefault="00197CE8" w:rsidP="00162B22">
      <w:pPr>
        <w:pStyle w:val="TOC"/>
      </w:pPr>
      <w:r w:rsidRPr="00350F91">
        <w:t>2019-04-10 Docket 412249-403 Certified 2019-08-22</w:t>
      </w:r>
    </w:p>
    <w:p w:rsidR="00491BFD" w:rsidRPr="00350F91" w:rsidRDefault="00491BFD" w:rsidP="00491BFD">
      <w:pPr>
        <w:pStyle w:val="TOC"/>
      </w:pPr>
      <w:r w:rsidRPr="00350F91">
        <w:t>October 15, 2022 Addendum filed by Candace Curtis</w:t>
      </w:r>
    </w:p>
    <w:p w:rsidR="00491BFD" w:rsidRPr="00350F91" w:rsidRDefault="00491BFD" w:rsidP="00162B22">
      <w:pPr>
        <w:pStyle w:val="TOC"/>
      </w:pPr>
    </w:p>
    <w:p w:rsidR="009D603D" w:rsidRPr="00350F91" w:rsidRDefault="00A1312A" w:rsidP="006F59DC">
      <w:pPr>
        <w:pStyle w:val="Heading2"/>
      </w:pPr>
      <w:r w:rsidRPr="00350F91">
        <w:t>No. 412,249-40</w:t>
      </w:r>
      <w:r w:rsidRPr="00350F91">
        <w:t>3</w:t>
      </w:r>
    </w:p>
    <w:p w:rsidR="009D603D" w:rsidRPr="00350F91" w:rsidRDefault="009526F7" w:rsidP="00162B22">
      <w:pPr>
        <w:pStyle w:val="TOC"/>
      </w:pPr>
      <w:r w:rsidRPr="00350F91">
        <w:t>Docket Sheets 412249-403</w:t>
      </w:r>
      <w:r w:rsidR="00E52C4A" w:rsidRPr="00350F91">
        <w:t xml:space="preserve"> Certified 2019-08-22</w:t>
      </w:r>
    </w:p>
    <w:p w:rsidR="009D603D" w:rsidRPr="00350F91" w:rsidRDefault="009526F7" w:rsidP="00162B22">
      <w:pPr>
        <w:pStyle w:val="TOC"/>
      </w:pPr>
      <w:r w:rsidRPr="00350F91">
        <w:t>2019-03-01 Order to transfer District court case to Probate</w:t>
      </w:r>
    </w:p>
    <w:p w:rsidR="00F06B38" w:rsidRPr="00350F91" w:rsidRDefault="00F06B38" w:rsidP="00162B22">
      <w:pPr>
        <w:pStyle w:val="TOC"/>
      </w:pPr>
      <w:r w:rsidRPr="00350F91">
        <w:lastRenderedPageBreak/>
        <w:t>2014-12-09 Case 412249-401  Estate of Nelva E Brunsting Hearing Transcript</w:t>
      </w:r>
    </w:p>
    <w:p w:rsidR="00F06B38" w:rsidRPr="00350F91" w:rsidRDefault="00F06B38" w:rsidP="00162B22">
      <w:pPr>
        <w:pStyle w:val="TOC"/>
      </w:pPr>
      <w:r w:rsidRPr="00350F91">
        <w:t>2015-02-03 Case 2013-05455 Brunsting, Carl H. Deposition of Carl H. Brunsting</w:t>
      </w:r>
    </w:p>
    <w:p w:rsidR="00F06B38" w:rsidRPr="00350F91" w:rsidRDefault="00F06B38" w:rsidP="00162B22">
      <w:pPr>
        <w:pStyle w:val="TOC"/>
      </w:pPr>
      <w:r w:rsidRPr="00350F91">
        <w:t>2015-02-15 Case 412249-401 Transcript</w:t>
      </w:r>
    </w:p>
    <w:p w:rsidR="00990AB1" w:rsidRPr="00350F91" w:rsidRDefault="00990AB1" w:rsidP="00990AB1">
      <w:pPr>
        <w:pStyle w:val="Heading2"/>
      </w:pPr>
      <w:r w:rsidRPr="00350F91">
        <w:t>No. 412,249-40</w:t>
      </w:r>
      <w:r w:rsidRPr="00350F91">
        <w:t>4</w:t>
      </w:r>
    </w:p>
    <w:p w:rsidR="00350F91" w:rsidRPr="00350F91" w:rsidRDefault="00350F91" w:rsidP="00350F91">
      <w:pPr>
        <w:pStyle w:val="TOC"/>
      </w:pPr>
      <w:r w:rsidRPr="00350F91">
        <w:t>Docket sheet in 412249-404</w:t>
      </w:r>
    </w:p>
    <w:p w:rsidR="009D603D" w:rsidRPr="00350F91" w:rsidRDefault="009D603D" w:rsidP="00350F91">
      <w:pPr>
        <w:pStyle w:val="TOC"/>
      </w:pPr>
      <w:r w:rsidRPr="00350F91">
        <w:t xml:space="preserve">2019-11-22 </w:t>
      </w:r>
      <w:r w:rsidR="00990AB1" w:rsidRPr="00350F91">
        <w:t xml:space="preserve">Statutory </w:t>
      </w:r>
      <w:r w:rsidRPr="00350F91">
        <w:t>Bill of Review</w:t>
      </w:r>
    </w:p>
    <w:p w:rsidR="00AF2D88" w:rsidRPr="00350F91" w:rsidRDefault="00AF2D88" w:rsidP="00162B22">
      <w:pPr>
        <w:pStyle w:val="TOC"/>
      </w:pPr>
      <w:r w:rsidRPr="00350F91">
        <w:t>2021-06-29 412249-404 Carl's Original Answer</w:t>
      </w:r>
    </w:p>
    <w:p w:rsidR="00B60156" w:rsidRPr="00350F91" w:rsidRDefault="00B60156" w:rsidP="00162B22">
      <w:pPr>
        <w:pStyle w:val="TOC"/>
      </w:pPr>
      <w:r w:rsidRPr="00350F91">
        <w:t>2021-07-04 412249-404 Curtis Reply to Carl's Answer</w:t>
      </w:r>
    </w:p>
    <w:p w:rsidR="009D603D" w:rsidRPr="00350F91" w:rsidRDefault="00CB0474" w:rsidP="00162B22">
      <w:pPr>
        <w:pStyle w:val="TOC"/>
      </w:pPr>
      <w:r w:rsidRPr="00350F91">
        <w:t>2022-03-22 Order Denying Statutory Bill of Review 412249-404</w:t>
      </w:r>
    </w:p>
    <w:p w:rsidR="008949C3" w:rsidRPr="00350F91" w:rsidRDefault="008949C3" w:rsidP="006F59DC">
      <w:pPr>
        <w:pStyle w:val="Heading2"/>
      </w:pPr>
      <w:r w:rsidRPr="00350F91">
        <w:t xml:space="preserve">Reporter's </w:t>
      </w:r>
      <w:r w:rsidRPr="00350F91">
        <w:t>records Nelva E. Brunsting, Deceased No. 412,249-401</w:t>
      </w:r>
    </w:p>
    <w:p w:rsidR="00F06B38" w:rsidRPr="00350F91" w:rsidRDefault="00F06B38" w:rsidP="00162B22">
      <w:pPr>
        <w:pStyle w:val="TOC"/>
      </w:pPr>
      <w:r w:rsidRPr="00350F91">
        <w:t>Hearings Sheet in 412249-401</w:t>
      </w:r>
    </w:p>
    <w:p w:rsidR="009F1A2E" w:rsidRPr="00350F91" w:rsidRDefault="00F06B38" w:rsidP="00162B22">
      <w:pPr>
        <w:pStyle w:val="TOC"/>
      </w:pPr>
      <w:r w:rsidRPr="00350F91">
        <w:t>2/15/</w:t>
      </w:r>
      <w:r w:rsidR="009F1A2E" w:rsidRPr="00350F91">
        <w:t>2015 Case 412249-401 Transcript</w:t>
      </w:r>
    </w:p>
    <w:p w:rsidR="009F1A2E" w:rsidRPr="00350F91" w:rsidRDefault="00F06B38" w:rsidP="00162B22">
      <w:pPr>
        <w:pStyle w:val="TOC"/>
      </w:pPr>
      <w:r w:rsidRPr="00350F91">
        <w:t>8/3/</w:t>
      </w:r>
      <w:r w:rsidR="009F1A2E" w:rsidRPr="00350F91">
        <w:t>2015  Estate of Nelva E Brunsting August 3, 2015</w:t>
      </w:r>
    </w:p>
    <w:p w:rsidR="009F1A2E" w:rsidRPr="00350F91" w:rsidRDefault="00F06B38" w:rsidP="00162B22">
      <w:pPr>
        <w:pStyle w:val="TOC"/>
      </w:pPr>
      <w:r w:rsidRPr="00350F91">
        <w:t>3/9/</w:t>
      </w:r>
      <w:r w:rsidR="009F1A2E" w:rsidRPr="00350F91">
        <w:t>2016 Case 412249-401 March 9, 2016 Hearing</w:t>
      </w:r>
    </w:p>
    <w:p w:rsidR="009F1A2E" w:rsidRPr="00350F91" w:rsidRDefault="009F1A2E" w:rsidP="00162B22">
      <w:pPr>
        <w:pStyle w:val="TOC"/>
      </w:pPr>
      <w:r w:rsidRPr="00350F91">
        <w:t>9/5/2018 Estate of Nelva E Brunsting Transcript of Hearing</w:t>
      </w:r>
    </w:p>
    <w:p w:rsidR="009F1A2E" w:rsidRPr="00350F91" w:rsidRDefault="009F1A2E" w:rsidP="00162B22">
      <w:pPr>
        <w:pStyle w:val="TOC"/>
      </w:pPr>
      <w:r w:rsidRPr="00350F91">
        <w:t>1/24/2019  412249-401 Estate of Nelva E Brunsting Hearing Transcript</w:t>
      </w:r>
    </w:p>
    <w:p w:rsidR="009F1A2E" w:rsidRPr="00350F91" w:rsidRDefault="009F1A2E" w:rsidP="00162B22">
      <w:pPr>
        <w:pStyle w:val="TOC"/>
      </w:pPr>
      <w:r w:rsidRPr="00350F91">
        <w:t>06/</w:t>
      </w:r>
      <w:r w:rsidRPr="00350F91">
        <w:t>28</w:t>
      </w:r>
      <w:r w:rsidRPr="00350F91">
        <w:t>/2019-Estate of Nelva E Brunsting Hearing Transcript</w:t>
      </w:r>
    </w:p>
    <w:p w:rsidR="009F1A2E" w:rsidRPr="00350F91" w:rsidRDefault="009F1A2E" w:rsidP="00162B22">
      <w:pPr>
        <w:pStyle w:val="TOC"/>
      </w:pPr>
      <w:r w:rsidRPr="00350F91">
        <w:t>8</w:t>
      </w:r>
      <w:r w:rsidRPr="00350F91">
        <w:t>/</w:t>
      </w:r>
      <w:r w:rsidRPr="00350F91">
        <w:t>06</w:t>
      </w:r>
      <w:r w:rsidRPr="00350F91">
        <w:t>/</w:t>
      </w:r>
      <w:r w:rsidR="00C41919" w:rsidRPr="00350F91">
        <w:t>2020 M</w:t>
      </w:r>
      <w:r w:rsidRPr="00350F91">
        <w:t xml:space="preserve">otion for summary judgment </w:t>
      </w:r>
    </w:p>
    <w:p w:rsidR="009F1A2E" w:rsidRPr="00350F91" w:rsidRDefault="009F1A2E" w:rsidP="00162B22">
      <w:pPr>
        <w:pStyle w:val="TOC"/>
      </w:pPr>
      <w:r w:rsidRPr="00350F91">
        <w:t>8/31/2020</w:t>
      </w:r>
      <w:r w:rsidRPr="00350F91">
        <w:t xml:space="preserve"> Motion to transfer </w:t>
      </w:r>
    </w:p>
    <w:p w:rsidR="009F1A2E" w:rsidRPr="00350F91" w:rsidRDefault="009F1A2E" w:rsidP="00162B22">
      <w:pPr>
        <w:pStyle w:val="TOC"/>
      </w:pPr>
      <w:r w:rsidRPr="00350F91">
        <w:t>9/28/2020</w:t>
      </w:r>
      <w:r w:rsidRPr="00350F91">
        <w:t xml:space="preserve"> </w:t>
      </w:r>
      <w:r w:rsidRPr="00350F91">
        <w:t>AD HOC HEARING</w:t>
      </w:r>
      <w:r w:rsidRPr="00350F91">
        <w:t xml:space="preserve"> </w:t>
      </w:r>
    </w:p>
    <w:p w:rsidR="00C41919" w:rsidRPr="00350F91" w:rsidRDefault="009F1A2E" w:rsidP="00162B22">
      <w:pPr>
        <w:pStyle w:val="TOC"/>
      </w:pPr>
      <w:r w:rsidRPr="00350F91">
        <w:t>5/24/2021 Scheduling conference</w:t>
      </w:r>
    </w:p>
    <w:p w:rsidR="009F1A2E" w:rsidRPr="00350F91" w:rsidRDefault="009F1A2E" w:rsidP="00162B22">
      <w:pPr>
        <w:pStyle w:val="TOC"/>
      </w:pPr>
      <w:r w:rsidRPr="00350F91">
        <w:t>11/4/2021</w:t>
      </w:r>
      <w:r w:rsidRPr="00350F91">
        <w:t xml:space="preserve"> Status conference </w:t>
      </w:r>
    </w:p>
    <w:p w:rsidR="008949C3" w:rsidRPr="00350F91" w:rsidRDefault="009F1A2E" w:rsidP="00162B22">
      <w:pPr>
        <w:pStyle w:val="TOC"/>
      </w:pPr>
      <w:r w:rsidRPr="00350F91">
        <w:t>12/14/2021</w:t>
      </w:r>
      <w:r w:rsidRPr="00350F91">
        <w:t xml:space="preserve"> Motion for</w:t>
      </w:r>
      <w:r w:rsidR="008949C3" w:rsidRPr="00350F91">
        <w:t xml:space="preserve"> </w:t>
      </w:r>
      <w:r w:rsidRPr="00350F91">
        <w:t>summary judgment</w:t>
      </w:r>
      <w:r w:rsidR="008949C3" w:rsidRPr="00350F91">
        <w:t xml:space="preserve"> </w:t>
      </w:r>
    </w:p>
    <w:p w:rsidR="008949C3" w:rsidRPr="00350F91" w:rsidRDefault="008949C3" w:rsidP="00162B22">
      <w:pPr>
        <w:pStyle w:val="TOC"/>
      </w:pPr>
      <w:r w:rsidRPr="00350F91">
        <w:t>1/6/2022 Emergency Motion for Distribution</w:t>
      </w:r>
    </w:p>
    <w:p w:rsidR="008949C3" w:rsidRPr="00350F91" w:rsidRDefault="008949C3" w:rsidP="00162B22">
      <w:pPr>
        <w:pStyle w:val="TOC"/>
      </w:pPr>
      <w:r w:rsidRPr="00350F91">
        <w:t>2/11/2022</w:t>
      </w:r>
      <w:r w:rsidRPr="00350F91">
        <w:t xml:space="preserve"> motion to sever </w:t>
      </w:r>
    </w:p>
    <w:p w:rsidR="008949C3" w:rsidRPr="00350F91" w:rsidRDefault="00C41919" w:rsidP="00162B22">
      <w:pPr>
        <w:pStyle w:val="TOC"/>
      </w:pPr>
      <w:r w:rsidRPr="00350F91">
        <w:lastRenderedPageBreak/>
        <w:t>2/25/</w:t>
      </w:r>
      <w:r w:rsidR="008949C3" w:rsidRPr="00350F91">
        <w:t xml:space="preserve">2022  status conference </w:t>
      </w:r>
    </w:p>
    <w:p w:rsidR="002A4AE1" w:rsidRPr="00350F91" w:rsidRDefault="002A4AE1" w:rsidP="00162B22">
      <w:pPr>
        <w:pStyle w:val="TOC"/>
      </w:pPr>
      <w:r w:rsidRPr="00350F91">
        <w:t xml:space="preserve">2022-03-04 Co-Trustees 1st Supp. </w:t>
      </w:r>
      <w:proofErr w:type="spellStart"/>
      <w:r w:rsidRPr="00350F91">
        <w:t>Resp</w:t>
      </w:r>
      <w:proofErr w:type="spellEnd"/>
      <w:r w:rsidRPr="00350F91">
        <w:t xml:space="preserve"> &amp; </w:t>
      </w:r>
      <w:proofErr w:type="spellStart"/>
      <w:r w:rsidRPr="00350F91">
        <w:t>Prdctn</w:t>
      </w:r>
      <w:proofErr w:type="spellEnd"/>
      <w:r w:rsidRPr="00350F91">
        <w:t xml:space="preserve"> to RFD</w:t>
      </w:r>
    </w:p>
    <w:p w:rsidR="008949C3" w:rsidRPr="00350F91" w:rsidRDefault="00C41919" w:rsidP="00162B22">
      <w:pPr>
        <w:pStyle w:val="TOC"/>
      </w:pPr>
      <w:r w:rsidRPr="00350F91">
        <w:t>3/</w:t>
      </w:r>
      <w:r w:rsidR="008949C3" w:rsidRPr="00350F91">
        <w:t>31</w:t>
      </w:r>
      <w:r w:rsidRPr="00350F91">
        <w:t>/</w:t>
      </w:r>
      <w:r w:rsidR="008949C3" w:rsidRPr="00350F91">
        <w:t xml:space="preserve">2022 Pre-Trial Conference </w:t>
      </w:r>
    </w:p>
    <w:p w:rsidR="008949C3" w:rsidRPr="00350F91" w:rsidRDefault="00C41919" w:rsidP="00162B22">
      <w:pPr>
        <w:pStyle w:val="TOC"/>
      </w:pPr>
      <w:r w:rsidRPr="00350F91">
        <w:t xml:space="preserve">4/14/2022 </w:t>
      </w:r>
      <w:r w:rsidR="008949C3" w:rsidRPr="00350F91">
        <w:t xml:space="preserve">Ad Hoc Hearing </w:t>
      </w:r>
      <w:r w:rsidR="00F06B38" w:rsidRPr="00350F91">
        <w:t>Ordered and Waiting!</w:t>
      </w:r>
    </w:p>
    <w:p w:rsidR="009D603D" w:rsidRPr="008949C3" w:rsidRDefault="009D603D" w:rsidP="009D603D">
      <w:pPr>
        <w:ind w:firstLine="0"/>
        <w:jc w:val="left"/>
        <w:rPr>
          <w:color w:val="auto"/>
        </w:rPr>
      </w:pPr>
    </w:p>
    <w:p w:rsidR="007F7F54" w:rsidRPr="008949C3" w:rsidRDefault="007F7F54">
      <w:pPr>
        <w:ind w:firstLine="0"/>
        <w:jc w:val="left"/>
        <w:rPr>
          <w:color w:val="auto"/>
        </w:rPr>
      </w:pPr>
    </w:p>
    <w:sectPr w:rsidR="007F7F54" w:rsidRPr="0089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706"/>
    <w:multiLevelType w:val="hybridMultilevel"/>
    <w:tmpl w:val="D92C05F2"/>
    <w:lvl w:ilvl="0" w:tplc="593E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92510E">
      <w:start w:val="1"/>
      <w:numFmt w:val="lowerLetter"/>
      <w:lvlText w:val="%2."/>
      <w:lvlJc w:val="left"/>
      <w:pPr>
        <w:ind w:left="1440" w:hanging="360"/>
      </w:pPr>
    </w:lvl>
    <w:lvl w:ilvl="2" w:tplc="251AB490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501D"/>
    <w:multiLevelType w:val="hybridMultilevel"/>
    <w:tmpl w:val="70B0820E"/>
    <w:lvl w:ilvl="0" w:tplc="C598D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26B8A"/>
    <w:multiLevelType w:val="hybridMultilevel"/>
    <w:tmpl w:val="0A1051A6"/>
    <w:lvl w:ilvl="0" w:tplc="B03A232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57D58"/>
    <w:multiLevelType w:val="hybridMultilevel"/>
    <w:tmpl w:val="2CF28A1A"/>
    <w:lvl w:ilvl="0" w:tplc="6F1025C4">
      <w:start w:val="1"/>
      <w:numFmt w:val="decimal"/>
      <w:pStyle w:val="TOC"/>
      <w:lvlText w:val="Tab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76A20"/>
    <w:multiLevelType w:val="hybridMultilevel"/>
    <w:tmpl w:val="FA345D56"/>
    <w:lvl w:ilvl="0" w:tplc="225C7628">
      <w:start w:val="1"/>
      <w:numFmt w:val="decimal"/>
      <w:pStyle w:val="NumPara1"/>
      <w:lvlText w:val="%1."/>
      <w:lvlJc w:val="left"/>
      <w:pPr>
        <w:ind w:left="720" w:hanging="360"/>
      </w:pPr>
    </w:lvl>
    <w:lvl w:ilvl="1" w:tplc="0FC8C6DC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5D82"/>
    <w:multiLevelType w:val="hybridMultilevel"/>
    <w:tmpl w:val="4EC2DD52"/>
    <w:lvl w:ilvl="0" w:tplc="39F02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F5047"/>
    <w:multiLevelType w:val="hybridMultilevel"/>
    <w:tmpl w:val="448860B2"/>
    <w:lvl w:ilvl="0" w:tplc="01461E8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8E477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A36F5C6">
      <w:start w:val="1"/>
      <w:numFmt w:val="decimal"/>
      <w:lvlText w:val="(%3)"/>
      <w:lvlJc w:val="left"/>
      <w:pPr>
        <w:ind w:left="2730" w:hanging="11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F093E"/>
    <w:multiLevelType w:val="hybridMultilevel"/>
    <w:tmpl w:val="73DC1AE0"/>
    <w:lvl w:ilvl="0" w:tplc="5E08BC82">
      <w:start w:val="1"/>
      <w:numFmt w:val="decimal"/>
      <w:lvlText w:val="Tab %1."/>
      <w:lvlJc w:val="center"/>
      <w:pPr>
        <w:ind w:left="990" w:hanging="360"/>
      </w:pPr>
      <w:rPr>
        <w:rFonts w:hint="default"/>
      </w:rPr>
    </w:lvl>
    <w:lvl w:ilvl="1" w:tplc="0FC8C6DC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7393830"/>
    <w:multiLevelType w:val="hybridMultilevel"/>
    <w:tmpl w:val="FB627814"/>
    <w:lvl w:ilvl="0" w:tplc="33CC6436">
      <w:start w:val="1"/>
      <w:numFmt w:val="decimal"/>
      <w:pStyle w:val="HeaderChar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47C04"/>
    <w:multiLevelType w:val="hybridMultilevel"/>
    <w:tmpl w:val="4D3C69CC"/>
    <w:lvl w:ilvl="0" w:tplc="7414874A">
      <w:start w:val="1"/>
      <w:numFmt w:val="decimal"/>
      <w:pStyle w:val="QuoteChar"/>
      <w:lvlText w:val="Tab 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470B3"/>
    <w:multiLevelType w:val="hybridMultilevel"/>
    <w:tmpl w:val="A468983C"/>
    <w:lvl w:ilvl="0" w:tplc="CEE272E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6"/>
  </w:num>
  <w:num w:numId="17">
    <w:abstractNumId w:val="2"/>
  </w:num>
  <w:num w:numId="18">
    <w:abstractNumId w:val="2"/>
  </w:num>
  <w:num w:numId="19">
    <w:abstractNumId w:val="2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6"/>
  </w:num>
  <w:num w:numId="25">
    <w:abstractNumId w:val="2"/>
  </w:num>
  <w:num w:numId="26">
    <w:abstractNumId w:val="2"/>
  </w:num>
  <w:num w:numId="27">
    <w:abstractNumId w:val="2"/>
  </w:num>
  <w:num w:numId="28">
    <w:abstractNumId w:val="6"/>
  </w:num>
  <w:num w:numId="29">
    <w:abstractNumId w:val="2"/>
  </w:num>
  <w:num w:numId="30">
    <w:abstractNumId w:val="4"/>
  </w:num>
  <w:num w:numId="31">
    <w:abstractNumId w:val="1"/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7"/>
  </w:num>
  <w:num w:numId="37">
    <w:abstractNumId w:val="7"/>
    <w:lvlOverride w:ilvl="0">
      <w:startOverride w:val="1"/>
    </w:lvlOverride>
  </w:num>
  <w:num w:numId="38">
    <w:abstractNumId w:val="9"/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E"/>
    <w:rsid w:val="00076924"/>
    <w:rsid w:val="000D0E94"/>
    <w:rsid w:val="000F738F"/>
    <w:rsid w:val="00124D37"/>
    <w:rsid w:val="00135DAE"/>
    <w:rsid w:val="0014339A"/>
    <w:rsid w:val="00162B22"/>
    <w:rsid w:val="00197CE8"/>
    <w:rsid w:val="001A3F32"/>
    <w:rsid w:val="001D0B0A"/>
    <w:rsid w:val="001D6254"/>
    <w:rsid w:val="001E2F8C"/>
    <w:rsid w:val="00237452"/>
    <w:rsid w:val="0024049E"/>
    <w:rsid w:val="002A4AE1"/>
    <w:rsid w:val="002D69F9"/>
    <w:rsid w:val="0032457F"/>
    <w:rsid w:val="00350F91"/>
    <w:rsid w:val="00367098"/>
    <w:rsid w:val="00391299"/>
    <w:rsid w:val="003A6462"/>
    <w:rsid w:val="003F4B40"/>
    <w:rsid w:val="00424FE8"/>
    <w:rsid w:val="00491BFD"/>
    <w:rsid w:val="005157AC"/>
    <w:rsid w:val="00550040"/>
    <w:rsid w:val="005B4D26"/>
    <w:rsid w:val="005E0485"/>
    <w:rsid w:val="006523DC"/>
    <w:rsid w:val="00670D01"/>
    <w:rsid w:val="006A479E"/>
    <w:rsid w:val="006D5A34"/>
    <w:rsid w:val="006E0DE5"/>
    <w:rsid w:val="006F59DC"/>
    <w:rsid w:val="00721920"/>
    <w:rsid w:val="00727055"/>
    <w:rsid w:val="00756AA9"/>
    <w:rsid w:val="007C1128"/>
    <w:rsid w:val="007D3064"/>
    <w:rsid w:val="007D3B36"/>
    <w:rsid w:val="007F7F54"/>
    <w:rsid w:val="00855E0E"/>
    <w:rsid w:val="00856837"/>
    <w:rsid w:val="0086338E"/>
    <w:rsid w:val="008949C3"/>
    <w:rsid w:val="008B060C"/>
    <w:rsid w:val="008F1325"/>
    <w:rsid w:val="0090178D"/>
    <w:rsid w:val="00932191"/>
    <w:rsid w:val="009439AC"/>
    <w:rsid w:val="00950776"/>
    <w:rsid w:val="009526F7"/>
    <w:rsid w:val="00975538"/>
    <w:rsid w:val="00977F59"/>
    <w:rsid w:val="00990AB1"/>
    <w:rsid w:val="009A77A7"/>
    <w:rsid w:val="009D603D"/>
    <w:rsid w:val="009D75C0"/>
    <w:rsid w:val="009F1A2E"/>
    <w:rsid w:val="00A05B2C"/>
    <w:rsid w:val="00A1312A"/>
    <w:rsid w:val="00A17B47"/>
    <w:rsid w:val="00A237F9"/>
    <w:rsid w:val="00A26C1F"/>
    <w:rsid w:val="00AB0B1E"/>
    <w:rsid w:val="00AC0531"/>
    <w:rsid w:val="00AF2D88"/>
    <w:rsid w:val="00B02C6D"/>
    <w:rsid w:val="00B2006C"/>
    <w:rsid w:val="00B2315A"/>
    <w:rsid w:val="00B32522"/>
    <w:rsid w:val="00B60156"/>
    <w:rsid w:val="00B64FE7"/>
    <w:rsid w:val="00B67DE7"/>
    <w:rsid w:val="00B72010"/>
    <w:rsid w:val="00C41919"/>
    <w:rsid w:val="00C42C11"/>
    <w:rsid w:val="00C67045"/>
    <w:rsid w:val="00CB0474"/>
    <w:rsid w:val="00CF5178"/>
    <w:rsid w:val="00CF6AAE"/>
    <w:rsid w:val="00D025EA"/>
    <w:rsid w:val="00D653E0"/>
    <w:rsid w:val="00E23F39"/>
    <w:rsid w:val="00E24A43"/>
    <w:rsid w:val="00E52C4A"/>
    <w:rsid w:val="00E55E80"/>
    <w:rsid w:val="00F06B38"/>
    <w:rsid w:val="00F4285C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A7"/>
    <w:pPr>
      <w:widowControl w:val="0"/>
      <w:spacing w:before="120" w:after="240" w:line="480" w:lineRule="auto"/>
      <w:ind w:firstLine="720"/>
      <w:textboxTightWrap w:val="allLines"/>
    </w:pPr>
    <w:rPr>
      <w:rFonts w:ascii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060C"/>
    <w:pPr>
      <w:keepLines/>
      <w:numPr>
        <w:numId w:val="14"/>
      </w:numPr>
      <w:spacing w:line="360" w:lineRule="auto"/>
      <w:outlineLvl w:val="0"/>
    </w:pPr>
    <w:rPr>
      <w:rFonts w:eastAsiaTheme="majorEastAsia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59DC"/>
    <w:pPr>
      <w:keepLines/>
      <w:spacing w:after="120" w:line="240" w:lineRule="auto"/>
      <w:ind w:firstLine="0"/>
      <w:outlineLvl w:val="1"/>
    </w:pPr>
    <w:rPr>
      <w:rFonts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E94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462"/>
    <w:pPr>
      <w:ind w:left="72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0D0E94"/>
    <w:pPr>
      <w:spacing w:after="120" w:line="240" w:lineRule="auto"/>
      <w:ind w:left="720" w:right="720" w:firstLine="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E94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060C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9DC"/>
    <w:rPr>
      <w:rFonts w:ascii="Times New Roman" w:hAnsi="Times New Roman" w:cstheme="majorBidi"/>
      <w:b/>
      <w:bCs/>
      <w:color w:val="000000"/>
      <w:sz w:val="26"/>
      <w:szCs w:val="26"/>
    </w:rPr>
  </w:style>
  <w:style w:type="paragraph" w:customStyle="1" w:styleId="NumPara1">
    <w:name w:val="Num Para 1"/>
    <w:basedOn w:val="NoSpacing"/>
    <w:link w:val="NumPara1Char"/>
    <w:autoRedefine/>
    <w:qFormat/>
    <w:rsid w:val="009526F7"/>
    <w:pPr>
      <w:numPr>
        <w:numId w:val="30"/>
      </w:numPr>
    </w:pPr>
    <w:rPr>
      <w:szCs w:val="24"/>
    </w:rPr>
  </w:style>
  <w:style w:type="character" w:customStyle="1" w:styleId="NumPara1Char">
    <w:name w:val="Num Para 1 Char"/>
    <w:basedOn w:val="DefaultParagraphFont"/>
    <w:link w:val="NumPara1"/>
    <w:rsid w:val="009526F7"/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D603D"/>
    <w:pPr>
      <w:numPr>
        <w:ilvl w:val="1"/>
        <w:numId w:val="30"/>
      </w:numPr>
      <w:spacing w:line="240" w:lineRule="auto"/>
    </w:pPr>
    <w:rPr>
      <w:szCs w:val="24"/>
    </w:rPr>
  </w:style>
  <w:style w:type="paragraph" w:customStyle="1" w:styleId="TOC">
    <w:name w:val="TOC"/>
    <w:basedOn w:val="TOCHeading"/>
    <w:link w:val="TOCChar"/>
    <w:autoRedefine/>
    <w:qFormat/>
    <w:rsid w:val="00162B22"/>
    <w:pPr>
      <w:numPr>
        <w:numId w:val="41"/>
      </w:numPr>
      <w:spacing w:before="120" w:line="240" w:lineRule="auto"/>
      <w:ind w:hanging="720"/>
    </w:pPr>
    <w:rPr>
      <w:rFonts w:ascii="Times New Roman" w:hAnsi="Times New Roman"/>
      <w:color w:val="auto"/>
      <w:lang w:eastAsia="ja-JP"/>
    </w:rPr>
  </w:style>
  <w:style w:type="character" w:customStyle="1" w:styleId="TOCChar">
    <w:name w:val="TOC Char"/>
    <w:basedOn w:val="DefaultParagraphFont"/>
    <w:link w:val="TOC"/>
    <w:rsid w:val="00162B22"/>
    <w:rPr>
      <w:rFonts w:ascii="Times New Roman" w:eastAsiaTheme="majorEastAsia" w:hAnsi="Times New Roman" w:cstheme="majorBidi"/>
      <w:bCs/>
      <w:sz w:val="24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2522"/>
    <w:pPr>
      <w:numPr>
        <w:numId w:val="0"/>
      </w:numPr>
      <w:spacing w:before="480"/>
      <w:outlineLvl w:val="9"/>
    </w:pPr>
    <w:rPr>
      <w:rFonts w:asciiTheme="majorHAnsi" w:hAnsiTheme="majorHAnsi" w:cstheme="majorBidi"/>
      <w:b w:val="0"/>
      <w:bCs/>
      <w:color w:val="2E74B5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77F59"/>
    <w:rPr>
      <w:b/>
      <w:bCs/>
      <w:caps/>
    </w:rPr>
  </w:style>
  <w:style w:type="paragraph" w:styleId="NoSpacing">
    <w:name w:val="No Spacing"/>
    <w:autoRedefine/>
    <w:uiPriority w:val="1"/>
    <w:qFormat/>
    <w:rsid w:val="00CF6AAE"/>
    <w:pPr>
      <w:spacing w:after="120"/>
      <w:jc w:val="left"/>
    </w:pPr>
    <w:rPr>
      <w:rFonts w:ascii="Times New Roman" w:eastAsiaTheme="minorEastAsia" w:hAnsi="Times New Roman"/>
      <w:sz w:val="24"/>
    </w:rPr>
  </w:style>
  <w:style w:type="paragraph" w:customStyle="1" w:styleId="Bullet">
    <w:name w:val="Bullet"/>
    <w:basedOn w:val="NumPara1"/>
    <w:link w:val="BulletChar"/>
    <w:qFormat/>
    <w:rsid w:val="00B32522"/>
    <w:pPr>
      <w:numPr>
        <w:numId w:val="28"/>
      </w:numPr>
    </w:pPr>
  </w:style>
  <w:style w:type="character" w:customStyle="1" w:styleId="BulletChar">
    <w:name w:val="Bullet Char"/>
    <w:basedOn w:val="NumPara1Char"/>
    <w:link w:val="Bullet"/>
    <w:rsid w:val="00B32522"/>
    <w:rPr>
      <w:rFonts w:ascii="Times New Roman" w:eastAsiaTheme="minorEastAsia" w:hAnsi="Times New Roman"/>
      <w:sz w:val="24"/>
      <w:szCs w:val="28"/>
    </w:rPr>
  </w:style>
  <w:style w:type="character" w:customStyle="1" w:styleId="serif">
    <w:name w:val="serif"/>
    <w:basedOn w:val="DefaultParagraphFont"/>
    <w:rsid w:val="00B32522"/>
  </w:style>
  <w:style w:type="character" w:customStyle="1" w:styleId="Heading3Char">
    <w:name w:val="Heading 3 Char"/>
    <w:basedOn w:val="DefaultParagraphFont"/>
    <w:link w:val="Heading3"/>
    <w:uiPriority w:val="9"/>
    <w:rsid w:val="000D0E94"/>
    <w:rPr>
      <w:rFonts w:ascii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6462"/>
    <w:rPr>
      <w:rFonts w:ascii="Times New Roman" w:hAnsi="Times New Roman"/>
      <w:b/>
      <w:bCs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325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25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32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522"/>
    <w:rPr>
      <w:rFonts w:ascii="Times New Roman" w:hAnsi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B32522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2522"/>
    <w:rPr>
      <w:rFonts w:ascii="Times New Roman" w:hAnsi="Times New Roman" w:cs="Times New Roman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B32522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325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25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2522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32522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5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325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2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22"/>
    <w:rPr>
      <w:rFonts w:ascii="Times New Roman" w:hAnsi="Times New Roman"/>
      <w:b/>
      <w:bCs/>
      <w:i/>
      <w:iCs/>
      <w:color w:val="5B9BD5" w:themeColor="accent1"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603D"/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FootnoteText"/>
    <w:link w:val="FootnoteChar"/>
    <w:autoRedefine/>
    <w:qFormat/>
    <w:rsid w:val="000D0E94"/>
    <w:pPr>
      <w:spacing w:before="0" w:after="120" w:line="240" w:lineRule="auto"/>
      <w:ind w:firstLine="0"/>
      <w:contextualSpacing/>
    </w:pPr>
  </w:style>
  <w:style w:type="character" w:customStyle="1" w:styleId="FootnoteChar">
    <w:name w:val="Footnote Char"/>
    <w:basedOn w:val="FootnoteTextChar"/>
    <w:link w:val="Footnote"/>
    <w:rsid w:val="000D0E94"/>
    <w:rPr>
      <w:rFonts w:ascii="Times New Roman" w:hAnsi="Times New Roman" w:cs="Times New Roman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CF6AAE"/>
    <w:pPr>
      <w:widowControl/>
      <w:spacing w:before="100" w:beforeAutospacing="1" w:after="100" w:afterAutospacing="1" w:line="240" w:lineRule="auto"/>
      <w:ind w:firstLine="0"/>
      <w:jc w:val="left"/>
      <w:textboxTightWrap w:val="none"/>
    </w:pPr>
    <w:rPr>
      <w:color w:val="auto"/>
      <w:szCs w:val="24"/>
    </w:rPr>
  </w:style>
  <w:style w:type="character" w:customStyle="1" w:styleId="ct-result-summary-snippet">
    <w:name w:val="ct-result-summary-snippet"/>
    <w:basedOn w:val="DefaultParagraphFont"/>
    <w:rsid w:val="009D603D"/>
  </w:style>
  <w:style w:type="character" w:styleId="Emphasis">
    <w:name w:val="Emphasis"/>
    <w:basedOn w:val="DefaultParagraphFont"/>
    <w:uiPriority w:val="20"/>
    <w:qFormat/>
    <w:rsid w:val="009D60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A7"/>
    <w:pPr>
      <w:widowControl w:val="0"/>
      <w:spacing w:before="120" w:after="240" w:line="480" w:lineRule="auto"/>
      <w:ind w:firstLine="720"/>
      <w:textboxTightWrap w:val="allLines"/>
    </w:pPr>
    <w:rPr>
      <w:rFonts w:ascii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060C"/>
    <w:pPr>
      <w:keepLines/>
      <w:numPr>
        <w:numId w:val="14"/>
      </w:numPr>
      <w:spacing w:line="360" w:lineRule="auto"/>
      <w:outlineLvl w:val="0"/>
    </w:pPr>
    <w:rPr>
      <w:rFonts w:eastAsiaTheme="majorEastAsia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59DC"/>
    <w:pPr>
      <w:keepLines/>
      <w:spacing w:after="120" w:line="240" w:lineRule="auto"/>
      <w:ind w:firstLine="0"/>
      <w:outlineLvl w:val="1"/>
    </w:pPr>
    <w:rPr>
      <w:rFonts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E94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462"/>
    <w:pPr>
      <w:ind w:left="72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0D0E94"/>
    <w:pPr>
      <w:spacing w:after="120" w:line="240" w:lineRule="auto"/>
      <w:ind w:left="720" w:right="720" w:firstLine="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E94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060C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9DC"/>
    <w:rPr>
      <w:rFonts w:ascii="Times New Roman" w:hAnsi="Times New Roman" w:cstheme="majorBidi"/>
      <w:b/>
      <w:bCs/>
      <w:color w:val="000000"/>
      <w:sz w:val="26"/>
      <w:szCs w:val="26"/>
    </w:rPr>
  </w:style>
  <w:style w:type="paragraph" w:customStyle="1" w:styleId="NumPara1">
    <w:name w:val="Num Para 1"/>
    <w:basedOn w:val="NoSpacing"/>
    <w:link w:val="NumPara1Char"/>
    <w:autoRedefine/>
    <w:qFormat/>
    <w:rsid w:val="009526F7"/>
    <w:pPr>
      <w:numPr>
        <w:numId w:val="30"/>
      </w:numPr>
    </w:pPr>
    <w:rPr>
      <w:szCs w:val="24"/>
    </w:rPr>
  </w:style>
  <w:style w:type="character" w:customStyle="1" w:styleId="NumPara1Char">
    <w:name w:val="Num Para 1 Char"/>
    <w:basedOn w:val="DefaultParagraphFont"/>
    <w:link w:val="NumPara1"/>
    <w:rsid w:val="009526F7"/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D603D"/>
    <w:pPr>
      <w:numPr>
        <w:ilvl w:val="1"/>
        <w:numId w:val="30"/>
      </w:numPr>
      <w:spacing w:line="240" w:lineRule="auto"/>
    </w:pPr>
    <w:rPr>
      <w:szCs w:val="24"/>
    </w:rPr>
  </w:style>
  <w:style w:type="paragraph" w:customStyle="1" w:styleId="TOC">
    <w:name w:val="TOC"/>
    <w:basedOn w:val="TOCHeading"/>
    <w:link w:val="TOCChar"/>
    <w:autoRedefine/>
    <w:qFormat/>
    <w:rsid w:val="00162B22"/>
    <w:pPr>
      <w:numPr>
        <w:numId w:val="41"/>
      </w:numPr>
      <w:spacing w:before="120" w:line="240" w:lineRule="auto"/>
      <w:ind w:hanging="720"/>
    </w:pPr>
    <w:rPr>
      <w:rFonts w:ascii="Times New Roman" w:hAnsi="Times New Roman"/>
      <w:color w:val="auto"/>
      <w:lang w:eastAsia="ja-JP"/>
    </w:rPr>
  </w:style>
  <w:style w:type="character" w:customStyle="1" w:styleId="TOCChar">
    <w:name w:val="TOC Char"/>
    <w:basedOn w:val="DefaultParagraphFont"/>
    <w:link w:val="TOC"/>
    <w:rsid w:val="00162B22"/>
    <w:rPr>
      <w:rFonts w:ascii="Times New Roman" w:eastAsiaTheme="majorEastAsia" w:hAnsi="Times New Roman" w:cstheme="majorBidi"/>
      <w:bCs/>
      <w:sz w:val="24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2522"/>
    <w:pPr>
      <w:numPr>
        <w:numId w:val="0"/>
      </w:numPr>
      <w:spacing w:before="480"/>
      <w:outlineLvl w:val="9"/>
    </w:pPr>
    <w:rPr>
      <w:rFonts w:asciiTheme="majorHAnsi" w:hAnsiTheme="majorHAnsi" w:cstheme="majorBidi"/>
      <w:b w:val="0"/>
      <w:bCs/>
      <w:color w:val="2E74B5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77F59"/>
    <w:rPr>
      <w:b/>
      <w:bCs/>
      <w:caps/>
    </w:rPr>
  </w:style>
  <w:style w:type="paragraph" w:styleId="NoSpacing">
    <w:name w:val="No Spacing"/>
    <w:autoRedefine/>
    <w:uiPriority w:val="1"/>
    <w:qFormat/>
    <w:rsid w:val="00CF6AAE"/>
    <w:pPr>
      <w:spacing w:after="120"/>
      <w:jc w:val="left"/>
    </w:pPr>
    <w:rPr>
      <w:rFonts w:ascii="Times New Roman" w:eastAsiaTheme="minorEastAsia" w:hAnsi="Times New Roman"/>
      <w:sz w:val="24"/>
    </w:rPr>
  </w:style>
  <w:style w:type="paragraph" w:customStyle="1" w:styleId="Bullet">
    <w:name w:val="Bullet"/>
    <w:basedOn w:val="NumPara1"/>
    <w:link w:val="BulletChar"/>
    <w:qFormat/>
    <w:rsid w:val="00B32522"/>
    <w:pPr>
      <w:numPr>
        <w:numId w:val="28"/>
      </w:numPr>
    </w:pPr>
  </w:style>
  <w:style w:type="character" w:customStyle="1" w:styleId="BulletChar">
    <w:name w:val="Bullet Char"/>
    <w:basedOn w:val="NumPara1Char"/>
    <w:link w:val="Bullet"/>
    <w:rsid w:val="00B32522"/>
    <w:rPr>
      <w:rFonts w:ascii="Times New Roman" w:eastAsiaTheme="minorEastAsia" w:hAnsi="Times New Roman"/>
      <w:sz w:val="24"/>
      <w:szCs w:val="28"/>
    </w:rPr>
  </w:style>
  <w:style w:type="character" w:customStyle="1" w:styleId="serif">
    <w:name w:val="serif"/>
    <w:basedOn w:val="DefaultParagraphFont"/>
    <w:rsid w:val="00B32522"/>
  </w:style>
  <w:style w:type="character" w:customStyle="1" w:styleId="Heading3Char">
    <w:name w:val="Heading 3 Char"/>
    <w:basedOn w:val="DefaultParagraphFont"/>
    <w:link w:val="Heading3"/>
    <w:uiPriority w:val="9"/>
    <w:rsid w:val="000D0E94"/>
    <w:rPr>
      <w:rFonts w:ascii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6462"/>
    <w:rPr>
      <w:rFonts w:ascii="Times New Roman" w:hAnsi="Times New Roman"/>
      <w:b/>
      <w:bCs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325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25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32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522"/>
    <w:rPr>
      <w:rFonts w:ascii="Times New Roman" w:hAnsi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B32522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2522"/>
    <w:rPr>
      <w:rFonts w:ascii="Times New Roman" w:hAnsi="Times New Roman" w:cs="Times New Roman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B32522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325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25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2522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32522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5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325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2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22"/>
    <w:rPr>
      <w:rFonts w:ascii="Times New Roman" w:hAnsi="Times New Roman"/>
      <w:b/>
      <w:bCs/>
      <w:i/>
      <w:iCs/>
      <w:color w:val="5B9BD5" w:themeColor="accent1"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603D"/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FootnoteText"/>
    <w:link w:val="FootnoteChar"/>
    <w:autoRedefine/>
    <w:qFormat/>
    <w:rsid w:val="000D0E94"/>
    <w:pPr>
      <w:spacing w:before="0" w:after="120" w:line="240" w:lineRule="auto"/>
      <w:ind w:firstLine="0"/>
      <w:contextualSpacing/>
    </w:pPr>
  </w:style>
  <w:style w:type="character" w:customStyle="1" w:styleId="FootnoteChar">
    <w:name w:val="Footnote Char"/>
    <w:basedOn w:val="FootnoteTextChar"/>
    <w:link w:val="Footnote"/>
    <w:rsid w:val="000D0E94"/>
    <w:rPr>
      <w:rFonts w:ascii="Times New Roman" w:hAnsi="Times New Roman" w:cs="Times New Roman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CF6AAE"/>
    <w:pPr>
      <w:widowControl/>
      <w:spacing w:before="100" w:beforeAutospacing="1" w:after="100" w:afterAutospacing="1" w:line="240" w:lineRule="auto"/>
      <w:ind w:firstLine="0"/>
      <w:jc w:val="left"/>
      <w:textboxTightWrap w:val="none"/>
    </w:pPr>
    <w:rPr>
      <w:color w:val="auto"/>
      <w:szCs w:val="24"/>
    </w:rPr>
  </w:style>
  <w:style w:type="character" w:customStyle="1" w:styleId="ct-result-summary-snippet">
    <w:name w:val="ct-result-summary-snippet"/>
    <w:basedOn w:val="DefaultParagraphFont"/>
    <w:rsid w:val="009D603D"/>
  </w:style>
  <w:style w:type="character" w:styleId="Emphasis">
    <w:name w:val="Emphasis"/>
    <w:basedOn w:val="DefaultParagraphFont"/>
    <w:uiPriority w:val="20"/>
    <w:qFormat/>
    <w:rsid w:val="009D60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9</cp:revision>
  <cp:lastPrinted>2022-06-13T19:59:00Z</cp:lastPrinted>
  <dcterms:created xsi:type="dcterms:W3CDTF">2022-06-12T20:36:00Z</dcterms:created>
  <dcterms:modified xsi:type="dcterms:W3CDTF">2022-06-16T15:45:00Z</dcterms:modified>
</cp:coreProperties>
</file>