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21" w:rsidRDefault="00397921">
      <w:r>
        <w:t xml:space="preserve">I need certified copies of the docket sheets in 412248, </w:t>
      </w:r>
      <w:r>
        <w:t>412249</w:t>
      </w:r>
      <w:r>
        <w:t xml:space="preserve">, 412249-401, </w:t>
      </w:r>
      <w:r w:rsidRPr="00961533">
        <w:rPr>
          <w:i/>
          <w:u w:val="single"/>
        </w:rPr>
        <w:t>412249-402</w:t>
      </w:r>
      <w:r>
        <w:t>, 412249-403 and 412249-404</w:t>
      </w:r>
      <w:r w:rsidR="00961533">
        <w:t>.</w:t>
      </w:r>
    </w:p>
    <w:p w:rsidR="00397921" w:rsidRDefault="00397921"/>
    <w:p w:rsidR="00961533" w:rsidRDefault="00961533" w:rsidP="00961533">
      <w:r>
        <w:t xml:space="preserve">Drina Brunsting as attorney in fact for Carl Brunsting (when did Drina become attorney in fact?) </w:t>
      </w:r>
    </w:p>
    <w:p w:rsidR="00397921" w:rsidRDefault="00397921"/>
    <w:p w:rsidR="008E0DF6" w:rsidRDefault="008E0DF6">
      <w:r>
        <w:t>Defendants claim to be in possession of evidence. Plaintiff Curtis demands production of the alleged evidence.</w:t>
      </w:r>
    </w:p>
    <w:p w:rsidR="008E0DF6" w:rsidRPr="00664E92" w:rsidRDefault="008E0DF6" w:rsidP="009521D0">
      <w:pPr>
        <w:pStyle w:val="Heading2"/>
        <w:numPr>
          <w:ilvl w:val="0"/>
          <w:numId w:val="11"/>
        </w:numPr>
        <w:rPr>
          <w:b w:val="0"/>
        </w:rPr>
      </w:pPr>
      <w:r w:rsidRPr="00664E92">
        <w:rPr>
          <w:b w:val="0"/>
        </w:rPr>
        <w:t>The original wet signed 8/25/2010 QBD/TPA</w:t>
      </w:r>
      <w:r w:rsidR="00961533">
        <w:rPr>
          <w:b w:val="0"/>
        </w:rPr>
        <w:t xml:space="preserve"> introduced under oath with personal knowledge testimony of its chain of custody and control </w:t>
      </w:r>
    </w:p>
    <w:p w:rsidR="00664E92" w:rsidRPr="00664E92" w:rsidRDefault="00664E92" w:rsidP="00664E92">
      <w:pPr>
        <w:pStyle w:val="ListParagraph"/>
        <w:numPr>
          <w:ilvl w:val="0"/>
          <w:numId w:val="11"/>
        </w:numPr>
      </w:pPr>
      <w:r w:rsidRPr="00664E92">
        <w:t>Mendel and Spielmans’ engagement letters showing the scope of their representation.</w:t>
      </w:r>
    </w:p>
    <w:p w:rsidR="00664E92" w:rsidRPr="00664E92" w:rsidRDefault="00664E92" w:rsidP="00664E92">
      <w:pPr>
        <w:pStyle w:val="ListParagraph"/>
        <w:numPr>
          <w:ilvl w:val="0"/>
          <w:numId w:val="11"/>
        </w:numPr>
      </w:pPr>
      <w:r w:rsidRPr="00664E92">
        <w:t xml:space="preserve">Mendel and Spielmans’ </w:t>
      </w:r>
      <w:r w:rsidRPr="00664E92">
        <w:t xml:space="preserve">Billing Statements showing how much time they spent: </w:t>
      </w:r>
    </w:p>
    <w:p w:rsidR="00664E92" w:rsidRPr="00664E92" w:rsidRDefault="00664E92" w:rsidP="00664E92">
      <w:pPr>
        <w:pStyle w:val="ListParagraph"/>
        <w:numPr>
          <w:ilvl w:val="1"/>
          <w:numId w:val="11"/>
        </w:numPr>
      </w:pPr>
      <w:r w:rsidRPr="00664E92">
        <w:t>Defending the alleged trustees for Breach of Fiduciary</w:t>
      </w:r>
    </w:p>
    <w:p w:rsidR="00664E92" w:rsidRDefault="00664E92" w:rsidP="00664E92">
      <w:pPr>
        <w:pStyle w:val="ListParagraph"/>
        <w:numPr>
          <w:ilvl w:val="1"/>
          <w:numId w:val="11"/>
        </w:numPr>
      </w:pPr>
      <w:r w:rsidRPr="00664E92">
        <w:t>Assisting the alleged trustees in performing the fiduciary obligations owed to the beneficiaries (a.k.a. administering “the trust”)</w:t>
      </w:r>
    </w:p>
    <w:p w:rsidR="004D15E9" w:rsidRDefault="004D15E9" w:rsidP="00664E92">
      <w:pPr>
        <w:pStyle w:val="ListParagraph"/>
        <w:numPr>
          <w:ilvl w:val="1"/>
          <w:numId w:val="11"/>
        </w:numPr>
      </w:pPr>
      <w:r w:rsidRPr="00664E92">
        <w:t xml:space="preserve">Defending </w:t>
      </w:r>
      <w:r>
        <w:t>themselves in the Civil RICO cause</w:t>
      </w:r>
    </w:p>
    <w:p w:rsidR="004D15E9" w:rsidRPr="00664E92" w:rsidRDefault="004D15E9" w:rsidP="00664E92">
      <w:pPr>
        <w:pStyle w:val="ListParagraph"/>
        <w:numPr>
          <w:ilvl w:val="1"/>
          <w:numId w:val="11"/>
        </w:numPr>
      </w:pPr>
      <w:r>
        <w:t>Ghost writing for Anita and Amy in the Civil RICO cause</w:t>
      </w:r>
    </w:p>
    <w:p w:rsidR="00664E92" w:rsidRPr="00664E92" w:rsidRDefault="00E930EE" w:rsidP="00E930EE">
      <w:pPr>
        <w:pStyle w:val="Heading2"/>
      </w:pPr>
      <w:r>
        <w:t>ATTORNEY FEES</w:t>
      </w:r>
    </w:p>
    <w:p w:rsidR="009521D0" w:rsidRDefault="009521D0">
      <w:r w:rsidRPr="00664E92">
        <w:t>Defendant</w:t>
      </w:r>
      <w:r w:rsidR="004452B3">
        <w:t>’</w:t>
      </w:r>
      <w:r w:rsidRPr="00664E92">
        <w:t>s attorneys claim to be</w:t>
      </w:r>
      <w:r>
        <w:t xml:space="preserve"> experts on their fees</w:t>
      </w:r>
      <w:r w:rsidR="00961533">
        <w:t xml:space="preserve"> (Spielman &amp; Mendel 7/01/2015, Bayless Dec. 1, 2014)</w:t>
      </w:r>
      <w:r>
        <w:t>. In Defendant Anita and Amy Brunsting’s much belated “Original Counter Claim” filed November 4, 2019 at page 6 of 8 Defendants demand payment of their fees:</w:t>
      </w:r>
    </w:p>
    <w:p w:rsidR="009521D0" w:rsidRDefault="009521D0"/>
    <w:p w:rsidR="009521D0" w:rsidRPr="00664E92" w:rsidRDefault="009521D0" w:rsidP="009521D0">
      <w:pPr>
        <w:pStyle w:val="IntenseQuote"/>
        <w:rPr>
          <w:color w:val="auto"/>
        </w:rPr>
      </w:pPr>
      <w:r w:rsidRPr="00664E92">
        <w:rPr>
          <w:color w:val="auto"/>
        </w:rPr>
        <w:t>“</w:t>
      </w:r>
      <w:r w:rsidRPr="00664E92">
        <w:rPr>
          <w:color w:val="auto"/>
        </w:rPr>
        <w:t>The Co-Trustees further seek a recovery/reimbursement of all attorney's fees, expenses</w:t>
      </w:r>
      <w:r w:rsidRPr="00664E92">
        <w:rPr>
          <w:color w:val="auto"/>
        </w:rPr>
        <w:t xml:space="preserve"> </w:t>
      </w:r>
      <w:r w:rsidRPr="00664E92">
        <w:rPr>
          <w:color w:val="auto"/>
        </w:rPr>
        <w:t>and court costs associated with this matter, whether in accordance with the terms of the Brunsting</w:t>
      </w:r>
      <w:r w:rsidRPr="00664E92">
        <w:rPr>
          <w:color w:val="auto"/>
        </w:rPr>
        <w:t xml:space="preserve"> </w:t>
      </w:r>
      <w:r w:rsidRPr="00664E92">
        <w:rPr>
          <w:color w:val="auto"/>
        </w:rPr>
        <w:t>Family Living Trust; in accordance with the Declaratory Judgment Act; as a sanctions/penalty for</w:t>
      </w:r>
      <w:r w:rsidRPr="00664E92">
        <w:rPr>
          <w:color w:val="auto"/>
        </w:rPr>
        <w:t xml:space="preserve"> </w:t>
      </w:r>
      <w:r w:rsidRPr="00664E92">
        <w:rPr>
          <w:color w:val="auto"/>
        </w:rPr>
        <w:t>actions taken in bad faith, in equity, or otherwise.</w:t>
      </w:r>
      <w:r w:rsidRPr="00664E92">
        <w:rPr>
          <w:color w:val="auto"/>
        </w:rPr>
        <w:t>”</w:t>
      </w:r>
    </w:p>
    <w:p w:rsidR="009521D0" w:rsidRDefault="009521D0" w:rsidP="00E930EE">
      <w:pPr>
        <w:pStyle w:val="Heading1"/>
      </w:pPr>
      <w:r>
        <w:t xml:space="preserve">POLICY ON </w:t>
      </w:r>
      <w:r>
        <w:t>ATTORNEY FEES</w:t>
      </w:r>
    </w:p>
    <w:p w:rsidR="009521D0" w:rsidRPr="00841A36" w:rsidRDefault="009521D0" w:rsidP="00841A36">
      <w:pPr>
        <w:pStyle w:val="Quote"/>
      </w:pPr>
      <w:proofErr w:type="gramStart"/>
      <w:r w:rsidRPr="00841A36">
        <w:t xml:space="preserve">In re Texas </w:t>
      </w:r>
      <w:proofErr w:type="spellStart"/>
      <w:r w:rsidRPr="00841A36">
        <w:t>Mut</w:t>
      </w:r>
      <w:proofErr w:type="spellEnd"/>
      <w:r w:rsidRPr="00841A36">
        <w:t>.</w:t>
      </w:r>
      <w:proofErr w:type="gramEnd"/>
      <w:r w:rsidRPr="00841A36">
        <w:t xml:space="preserve"> Ins. Co., 358 S.W.3d 869, 873 n.3 (Tex. App. 2012) (“When a party does not seek to shift its fees to its opponent, the </w:t>
      </w:r>
      <w:r w:rsidRPr="00841A36">
        <w:lastRenderedPageBreak/>
        <w:t xml:space="preserve">party's attorney's fees are not subject to discovery because they are “patently irrelevant.” See MCI </w:t>
      </w:r>
      <w:proofErr w:type="spellStart"/>
      <w:r w:rsidRPr="00841A36">
        <w:t>Telecomms</w:t>
      </w:r>
      <w:proofErr w:type="spellEnd"/>
      <w:r w:rsidRPr="00841A36">
        <w:t xml:space="preserve">. Corp. v. Crowley, </w:t>
      </w:r>
      <w:hyperlink r:id="rId6" w:anchor="p403" w:history="1">
        <w:r w:rsidRPr="00841A36">
          <w:rPr>
            <w:rStyle w:val="Hyperlink"/>
            <w:color w:val="auto"/>
            <w:u w:val="none"/>
          </w:rPr>
          <w:t>899 S.W.2d 399, 403–404</w:t>
        </w:r>
      </w:hyperlink>
      <w:r w:rsidRPr="00841A36">
        <w:t xml:space="preserve"> (</w:t>
      </w:r>
      <w:proofErr w:type="spellStart"/>
      <w:r w:rsidRPr="00841A36">
        <w:t>Tex.App</w:t>
      </w:r>
      <w:proofErr w:type="spellEnd"/>
      <w:r w:rsidRPr="00841A36">
        <w:t xml:space="preserve">.-Fort Worth 1995, orig. proceeding) (trial court abused its discretion by ordering discovery of defendant's legal fees, which were “patently irrelevant,” when the defendant did not seek reimbursement); see also Walker v. Packer, </w:t>
      </w:r>
      <w:hyperlink r:id="rId7" w:anchor="p843" w:history="1">
        <w:r w:rsidRPr="00841A36">
          <w:rPr>
            <w:rStyle w:val="Hyperlink"/>
            <w:color w:val="auto"/>
            <w:u w:val="none"/>
          </w:rPr>
          <w:t>827 S.W.2d 833, 843</w:t>
        </w:r>
      </w:hyperlink>
      <w:r w:rsidRPr="00841A36">
        <w:t xml:space="preserve"> (Tex.1992); In re Dillard Dept. Stores, Inc., No. 05–99–00750–CV, 1999 WL 605593, at *2 (</w:t>
      </w:r>
      <w:proofErr w:type="spellStart"/>
      <w:r w:rsidRPr="00841A36">
        <w:t>Tex.App</w:t>
      </w:r>
      <w:proofErr w:type="spellEnd"/>
      <w:r w:rsidRPr="00841A36">
        <w:t>.-Dallas Aug. 12, 1999, orig. proceeding).”)</w:t>
      </w:r>
    </w:p>
    <w:p w:rsidR="009521D0" w:rsidRDefault="009521D0" w:rsidP="009521D0">
      <w:pPr>
        <w:pStyle w:val="NumPara1"/>
      </w:pPr>
    </w:p>
    <w:p w:rsidR="009521D0" w:rsidRPr="00054961" w:rsidRDefault="009521D0" w:rsidP="00841A36">
      <w:pPr>
        <w:pStyle w:val="Quote"/>
      </w:pPr>
      <w:proofErr w:type="gramStart"/>
      <w:r w:rsidRPr="00054961">
        <w:t>Anderson v. McCormick, NO.</w:t>
      </w:r>
      <w:proofErr w:type="gramEnd"/>
      <w:r w:rsidRPr="00054961">
        <w:t xml:space="preserve"> 01-12-00856-CV, at *15-16 (Tex. App. Oct. 31, 2013) (“Anderson argues that her fees were reasonable based on the duration of her practice and the fact that there are no affidavits or other evidence specifically showing that her fees were not reasonable. But </w:t>
      </w:r>
      <w:r w:rsidRPr="00054961">
        <w:rPr>
          <w:b/>
        </w:rPr>
        <w:t xml:space="preserve">an attorney who fails to present evidence of the reasonable value of her services may not recover for those services under a quantum </w:t>
      </w:r>
      <w:proofErr w:type="spellStart"/>
      <w:r w:rsidRPr="00054961">
        <w:rPr>
          <w:b/>
        </w:rPr>
        <w:t>meruit</w:t>
      </w:r>
      <w:proofErr w:type="spellEnd"/>
      <w:r w:rsidRPr="00054961">
        <w:rPr>
          <w:b/>
        </w:rPr>
        <w:t xml:space="preserve"> theory</w:t>
      </w:r>
      <w:r w:rsidRPr="00054961">
        <w:t xml:space="preserve">. Hoover </w:t>
      </w:r>
      <w:proofErr w:type="spellStart"/>
      <w:r w:rsidRPr="00054961">
        <w:t>Slovacek</w:t>
      </w:r>
      <w:proofErr w:type="spellEnd"/>
      <w:r w:rsidRPr="00054961">
        <w:t xml:space="preserve"> LLP v. Walton, </w:t>
      </w:r>
      <w:hyperlink r:id="rId8" w:anchor="p565" w:history="1">
        <w:r w:rsidRPr="00054961">
          <w:rPr>
            <w:color w:val="0000FF"/>
          </w:rPr>
          <w:t>206 S.W.3d 557, 565-66</w:t>
        </w:r>
      </w:hyperlink>
      <w:r w:rsidRPr="00054961">
        <w:t xml:space="preserve"> (Tex. 2006); see also Stewart Title, </w:t>
      </w:r>
      <w:hyperlink r:id="rId9" w:anchor="p10" w:history="1">
        <w:r w:rsidRPr="00054961">
          <w:rPr>
            <w:color w:val="0000FF"/>
          </w:rPr>
          <w:t>822 S.W.2d at 10</w:t>
        </w:r>
      </w:hyperlink>
      <w:r w:rsidRPr="00054961">
        <w:t xml:space="preserve"> (party requesting attorney's fees bears the burden of proof). Assuming that the bills attached to Anderson's applications and motion for fees constituted evidence of the reasonableness of the requested fees, the probate court judge was within its discretion to weigh that evidence against the scope of Anderson's engagement and the lack of a written agreement. ”)</w:t>
      </w:r>
    </w:p>
    <w:p w:rsidR="008E0DF6" w:rsidRDefault="008E0DF6">
      <w:bookmarkStart w:id="0" w:name="_GoBack"/>
      <w:bookmarkEnd w:id="0"/>
    </w:p>
    <w:p w:rsidR="00E930EE" w:rsidRDefault="00E930EE" w:rsidP="00E930EE">
      <w:pPr>
        <w:pStyle w:val="Heading1"/>
        <w:rPr>
          <w:rFonts w:eastAsia="Times New Roman"/>
        </w:rPr>
      </w:pPr>
      <w:r>
        <w:rPr>
          <w:rFonts w:eastAsia="Times New Roman"/>
        </w:rPr>
        <w:t>In Terrorem Clause and Granters Intent</w:t>
      </w:r>
    </w:p>
    <w:p w:rsidR="00E930EE" w:rsidRDefault="00E930EE" w:rsidP="00E930EE">
      <w:pPr>
        <w:rPr>
          <w:rFonts w:eastAsia="Times New Roman"/>
          <w:sz w:val="24"/>
          <w:szCs w:val="24"/>
        </w:rPr>
      </w:pPr>
    </w:p>
    <w:p w:rsidR="00E930EE" w:rsidRDefault="00E930EE" w:rsidP="00E930EE">
      <w:pPr>
        <w:pStyle w:val="Heading2"/>
      </w:pPr>
      <w:r>
        <w:t xml:space="preserve">2005 Restatement </w:t>
      </w:r>
      <w:r>
        <w:rPr>
          <w:rFonts w:eastAsia="Times New Roman"/>
          <w:sz w:val="24"/>
          <w:szCs w:val="24"/>
        </w:rPr>
        <w:t>in Terrorem Clause (P 11-1)</w:t>
      </w:r>
    </w:p>
    <w:p w:rsidR="00E930EE" w:rsidRDefault="00E930EE" w:rsidP="00E930EE">
      <w:pPr>
        <w:autoSpaceDE w:val="0"/>
        <w:autoSpaceDN w:val="0"/>
        <w:adjustRightInd w:val="0"/>
        <w:spacing w:before="0" w:after="0"/>
        <w:jc w:val="left"/>
        <w:rPr>
          <w:color w:val="333333"/>
          <w:sz w:val="26"/>
          <w:szCs w:val="26"/>
        </w:rPr>
      </w:pPr>
      <w:r>
        <w:rPr>
          <w:color w:val="474747"/>
          <w:sz w:val="26"/>
          <w:szCs w:val="26"/>
        </w:rPr>
        <w:t xml:space="preserve">Section C. </w:t>
      </w:r>
      <w:r>
        <w:rPr>
          <w:color w:val="333333"/>
          <w:sz w:val="26"/>
          <w:szCs w:val="26"/>
        </w:rPr>
        <w:t>No Contest of Our Trust</w:t>
      </w:r>
    </w:p>
    <w:p w:rsidR="00E930EE" w:rsidRPr="00A4244E" w:rsidRDefault="00E930EE" w:rsidP="00E930EE">
      <w:pPr>
        <w:pStyle w:val="ListParagraph"/>
        <w:numPr>
          <w:ilvl w:val="0"/>
          <w:numId w:val="16"/>
        </w:numPr>
        <w:autoSpaceDE w:val="0"/>
        <w:autoSpaceDN w:val="0"/>
        <w:adjustRightInd w:val="0"/>
        <w:spacing w:before="0" w:after="0"/>
        <w:jc w:val="left"/>
        <w:rPr>
          <w:color w:val="474747"/>
          <w:sz w:val="24"/>
          <w:szCs w:val="24"/>
        </w:rPr>
      </w:pPr>
      <w:r w:rsidRPr="00A4244E">
        <w:rPr>
          <w:color w:val="333333"/>
          <w:sz w:val="24"/>
          <w:szCs w:val="24"/>
        </w:rPr>
        <w:t xml:space="preserve">The </w:t>
      </w:r>
      <w:r w:rsidRPr="00A4244E">
        <w:rPr>
          <w:color w:val="474747"/>
          <w:sz w:val="24"/>
          <w:szCs w:val="24"/>
        </w:rPr>
        <w:t xml:space="preserve">Founders vest in the </w:t>
      </w:r>
      <w:r w:rsidRPr="00A4244E">
        <w:rPr>
          <w:b/>
          <w:color w:val="474747"/>
          <w:sz w:val="24"/>
          <w:szCs w:val="24"/>
          <w:highlight w:val="yellow"/>
          <w:u w:val="single"/>
        </w:rPr>
        <w:t>Trustee</w:t>
      </w:r>
      <w:r w:rsidRPr="00A4244E">
        <w:rPr>
          <w:color w:val="474747"/>
          <w:sz w:val="24"/>
          <w:szCs w:val="24"/>
        </w:rPr>
        <w:t xml:space="preserve"> the authority to construe this trust instrument and to resolve all matters pertaining to disputed issues or controverted claims. </w:t>
      </w:r>
      <w:r w:rsidRPr="00A4244E">
        <w:rPr>
          <w:color w:val="333333"/>
          <w:sz w:val="24"/>
          <w:szCs w:val="24"/>
        </w:rPr>
        <w:t xml:space="preserve">Founders </w:t>
      </w:r>
      <w:r w:rsidRPr="00A4244E">
        <w:rPr>
          <w:color w:val="474747"/>
          <w:sz w:val="24"/>
          <w:szCs w:val="24"/>
        </w:rPr>
        <w:t xml:space="preserve">do not want to burden this trust with the cost of a litigated proceeding </w:t>
      </w:r>
      <w:r w:rsidRPr="00A4244E">
        <w:rPr>
          <w:color w:val="333333"/>
          <w:sz w:val="24"/>
          <w:szCs w:val="24"/>
        </w:rPr>
        <w:t xml:space="preserve">to </w:t>
      </w:r>
      <w:r w:rsidRPr="00A4244E">
        <w:rPr>
          <w:color w:val="474747"/>
          <w:sz w:val="24"/>
          <w:szCs w:val="24"/>
        </w:rPr>
        <w:t xml:space="preserve">resolve questions of law or fact unless the proceeding is originated by the </w:t>
      </w:r>
      <w:r w:rsidRPr="00A4244E">
        <w:rPr>
          <w:b/>
          <w:color w:val="474747"/>
          <w:sz w:val="24"/>
          <w:szCs w:val="24"/>
        </w:rPr>
        <w:t>Trustee</w:t>
      </w:r>
      <w:r w:rsidRPr="00A4244E">
        <w:rPr>
          <w:color w:val="474747"/>
          <w:sz w:val="24"/>
          <w:szCs w:val="24"/>
        </w:rPr>
        <w:t xml:space="preserve"> or with the </w:t>
      </w:r>
      <w:r w:rsidRPr="00A4244E">
        <w:rPr>
          <w:b/>
          <w:color w:val="474747"/>
          <w:sz w:val="24"/>
          <w:szCs w:val="24"/>
        </w:rPr>
        <w:t>Trustee's</w:t>
      </w:r>
      <w:r w:rsidRPr="00A4244E">
        <w:rPr>
          <w:color w:val="474747"/>
          <w:sz w:val="24"/>
          <w:szCs w:val="24"/>
        </w:rPr>
        <w:t xml:space="preserve"> written permission.</w:t>
      </w:r>
    </w:p>
    <w:p w:rsidR="00E930EE" w:rsidRPr="00A4244E" w:rsidRDefault="00E930EE" w:rsidP="00E930EE">
      <w:pPr>
        <w:pStyle w:val="ListParagraph"/>
        <w:numPr>
          <w:ilvl w:val="0"/>
          <w:numId w:val="16"/>
        </w:numPr>
        <w:autoSpaceDE w:val="0"/>
        <w:autoSpaceDN w:val="0"/>
        <w:adjustRightInd w:val="0"/>
        <w:spacing w:before="0" w:after="0"/>
        <w:jc w:val="left"/>
        <w:rPr>
          <w:color w:val="464646"/>
          <w:sz w:val="25"/>
          <w:szCs w:val="25"/>
        </w:rPr>
      </w:pPr>
      <w:r w:rsidRPr="00A4244E">
        <w:rPr>
          <w:color w:val="464646"/>
          <w:sz w:val="25"/>
          <w:szCs w:val="25"/>
          <w:highlight w:val="yellow"/>
          <w:u w:val="single"/>
        </w:rPr>
        <w:t xml:space="preserve">Any person, agency or organization who shall </w:t>
      </w:r>
      <w:r w:rsidRPr="00A4244E">
        <w:rPr>
          <w:b/>
          <w:color w:val="464646"/>
          <w:sz w:val="25"/>
          <w:szCs w:val="25"/>
          <w:highlight w:val="yellow"/>
          <w:u w:val="single"/>
        </w:rPr>
        <w:t>originate</w:t>
      </w:r>
      <w:r w:rsidRPr="00A4244E">
        <w:rPr>
          <w:color w:val="464646"/>
          <w:sz w:val="25"/>
          <w:szCs w:val="25"/>
          <w:highlight w:val="yellow"/>
          <w:u w:val="single"/>
        </w:rPr>
        <w:t xml:space="preserve"> (</w:t>
      </w:r>
      <w:r w:rsidRPr="00A4244E">
        <w:rPr>
          <w:b/>
          <w:color w:val="464646"/>
          <w:sz w:val="25"/>
          <w:szCs w:val="25"/>
          <w:highlight w:val="yellow"/>
          <w:u w:val="single"/>
        </w:rPr>
        <w:t>or</w:t>
      </w:r>
      <w:r w:rsidRPr="00A4244E">
        <w:rPr>
          <w:color w:val="464646"/>
          <w:sz w:val="25"/>
          <w:szCs w:val="25"/>
          <w:highlight w:val="yellow"/>
          <w:u w:val="single"/>
        </w:rPr>
        <w:t xml:space="preserve"> who shall </w:t>
      </w:r>
      <w:r w:rsidRPr="00A4244E">
        <w:rPr>
          <w:b/>
          <w:color w:val="464646"/>
          <w:sz w:val="25"/>
          <w:szCs w:val="25"/>
          <w:highlight w:val="yellow"/>
          <w:u w:val="single"/>
        </w:rPr>
        <w:t>cause to be instituted</w:t>
      </w:r>
      <w:r w:rsidRPr="00A4244E">
        <w:rPr>
          <w:color w:val="464646"/>
          <w:sz w:val="25"/>
          <w:szCs w:val="25"/>
          <w:highlight w:val="yellow"/>
          <w:u w:val="single"/>
        </w:rPr>
        <w:t>) a judicial proceeding</w:t>
      </w:r>
      <w:r w:rsidRPr="00A4244E">
        <w:rPr>
          <w:color w:val="464646"/>
          <w:sz w:val="25"/>
          <w:szCs w:val="25"/>
        </w:rPr>
        <w:t xml:space="preserve"> to construe or contest this trust instrument, or any will which requires distribution of property to this trust, or to resolve any claim or controversy </w:t>
      </w:r>
      <w:r w:rsidRPr="00A4244E">
        <w:rPr>
          <w:rFonts w:ascii="Arial" w:hAnsi="Arial" w:cs="Arial"/>
          <w:color w:val="464646"/>
          <w:sz w:val="25"/>
          <w:szCs w:val="25"/>
        </w:rPr>
        <w:t xml:space="preserve">in </w:t>
      </w:r>
      <w:r w:rsidRPr="00A4244E">
        <w:rPr>
          <w:color w:val="464646"/>
          <w:sz w:val="25"/>
          <w:szCs w:val="25"/>
        </w:rPr>
        <w:t xml:space="preserve">the nature of reimbursement, or seeking to impress a constructive or </w:t>
      </w:r>
      <w:r w:rsidRPr="00A4244E">
        <w:rPr>
          <w:color w:val="464646"/>
          <w:sz w:val="25"/>
          <w:szCs w:val="25"/>
        </w:rPr>
        <w:lastRenderedPageBreak/>
        <w:t xml:space="preserve">resulting trust, </w:t>
      </w:r>
      <w:r w:rsidRPr="00A4244E">
        <w:rPr>
          <w:color w:val="464646"/>
          <w:sz w:val="25"/>
          <w:szCs w:val="25"/>
          <w:highlight w:val="yellow"/>
        </w:rPr>
        <w:t xml:space="preserve">or alleging any other theory which, </w:t>
      </w:r>
      <w:r w:rsidRPr="00A4244E">
        <w:rPr>
          <w:color w:val="464646"/>
          <w:sz w:val="26"/>
          <w:szCs w:val="26"/>
          <w:highlight w:val="yellow"/>
        </w:rPr>
        <w:t xml:space="preserve">if </w:t>
      </w:r>
      <w:r w:rsidRPr="00A4244E">
        <w:rPr>
          <w:color w:val="464646"/>
          <w:sz w:val="25"/>
          <w:szCs w:val="25"/>
          <w:highlight w:val="yellow"/>
        </w:rPr>
        <w:t xml:space="preserve">assumed as true, would enlarge (or originate) a claimant's interest in this trust or </w:t>
      </w:r>
      <w:r w:rsidRPr="00A4244E">
        <w:rPr>
          <w:rFonts w:ascii="Arial" w:hAnsi="Arial" w:cs="Arial"/>
          <w:color w:val="464646"/>
          <w:sz w:val="25"/>
          <w:szCs w:val="25"/>
          <w:highlight w:val="yellow"/>
        </w:rPr>
        <w:t xml:space="preserve">in </w:t>
      </w:r>
      <w:r w:rsidRPr="00A4244E">
        <w:rPr>
          <w:color w:val="464646"/>
          <w:sz w:val="25"/>
          <w:szCs w:val="25"/>
          <w:highlight w:val="yellow"/>
        </w:rPr>
        <w:t>the Founders' estates</w:t>
      </w:r>
      <w:r w:rsidRPr="00A4244E">
        <w:rPr>
          <w:color w:val="464646"/>
          <w:sz w:val="25"/>
          <w:szCs w:val="25"/>
        </w:rPr>
        <w:t>, without the Trustee's written permission, shall forfeit any amount to which that person, agency or organization is or may be entitled and the interest of any such litigant or contestant shall pass as if he or she or it had predeceased us, regardless of whether or not such contestant is a named beneficiary.</w:t>
      </w:r>
    </w:p>
    <w:p w:rsidR="00E930EE" w:rsidRPr="00A4244E" w:rsidRDefault="00E930EE" w:rsidP="00E930EE">
      <w:pPr>
        <w:pStyle w:val="ListParagraph"/>
        <w:numPr>
          <w:ilvl w:val="0"/>
          <w:numId w:val="16"/>
        </w:numPr>
        <w:autoSpaceDE w:val="0"/>
        <w:autoSpaceDN w:val="0"/>
        <w:adjustRightInd w:val="0"/>
        <w:spacing w:before="0" w:after="0"/>
        <w:jc w:val="left"/>
        <w:rPr>
          <w:color w:val="464646"/>
          <w:sz w:val="25"/>
          <w:szCs w:val="25"/>
        </w:rPr>
      </w:pPr>
      <w:r w:rsidRPr="00A4244E">
        <w:rPr>
          <w:color w:val="464646"/>
          <w:sz w:val="25"/>
          <w:szCs w:val="25"/>
        </w:rPr>
        <w:t>These directions shall apply even though the person, agency or organization shall be found by a court of law to have originated the judicial proceeding in good faith and with probable cause and even though the proceedings may seek nothing more than to construe the application of this no contest provision.</w:t>
      </w:r>
    </w:p>
    <w:p w:rsidR="00E930EE" w:rsidRDefault="00E930EE" w:rsidP="00E930EE">
      <w:pPr>
        <w:rPr>
          <w:rFonts w:eastAsia="Times New Roman"/>
          <w:sz w:val="24"/>
          <w:szCs w:val="24"/>
        </w:rPr>
      </w:pPr>
    </w:p>
    <w:p w:rsidR="00E930EE" w:rsidRDefault="00E930EE" w:rsidP="00E930EE">
      <w:pPr>
        <w:pStyle w:val="Heading2"/>
      </w:pPr>
      <w:r>
        <w:t>8/25/2010 QBD/TPA in Terrorem Clause (P-22)</w:t>
      </w:r>
    </w:p>
    <w:p w:rsidR="00E930EE" w:rsidRDefault="00E930EE" w:rsidP="00E930EE">
      <w:pPr>
        <w:rPr>
          <w:rFonts w:eastAsia="Times New Roman"/>
          <w:sz w:val="24"/>
          <w:szCs w:val="24"/>
        </w:rPr>
      </w:pPr>
    </w:p>
    <w:p w:rsidR="00E930EE" w:rsidRDefault="00E930EE" w:rsidP="00E930EE">
      <w:pPr>
        <w:autoSpaceDE w:val="0"/>
        <w:autoSpaceDN w:val="0"/>
        <w:adjustRightInd w:val="0"/>
        <w:spacing w:before="0" w:after="0"/>
        <w:jc w:val="left"/>
        <w:rPr>
          <w:sz w:val="25"/>
          <w:szCs w:val="25"/>
        </w:rPr>
      </w:pPr>
      <w:r>
        <w:rPr>
          <w:sz w:val="25"/>
          <w:szCs w:val="25"/>
        </w:rPr>
        <w:t>MISCELLANEOUS PROVISIONS</w:t>
      </w:r>
    </w:p>
    <w:p w:rsidR="00E930EE" w:rsidRDefault="00E930EE" w:rsidP="00E930EE">
      <w:pPr>
        <w:autoSpaceDE w:val="0"/>
        <w:autoSpaceDN w:val="0"/>
        <w:adjustRightInd w:val="0"/>
        <w:spacing w:before="0" w:after="0"/>
        <w:jc w:val="left"/>
        <w:rPr>
          <w:sz w:val="25"/>
          <w:szCs w:val="25"/>
        </w:rPr>
      </w:pPr>
      <w:r>
        <w:rPr>
          <w:sz w:val="25"/>
          <w:szCs w:val="25"/>
        </w:rPr>
        <w:t xml:space="preserve">A. Prohibition </w:t>
      </w:r>
      <w:proofErr w:type="gramStart"/>
      <w:r>
        <w:rPr>
          <w:sz w:val="25"/>
          <w:szCs w:val="25"/>
        </w:rPr>
        <w:t>Against</w:t>
      </w:r>
      <w:proofErr w:type="gramEnd"/>
      <w:r>
        <w:rPr>
          <w:sz w:val="25"/>
          <w:szCs w:val="25"/>
        </w:rPr>
        <w:t xml:space="preserve"> Contest: If any devisee, legatee or beneficiary under the Trust</w:t>
      </w:r>
    </w:p>
    <w:p w:rsidR="00E930EE" w:rsidRDefault="00E930EE" w:rsidP="00E930EE">
      <w:pPr>
        <w:autoSpaceDE w:val="0"/>
        <w:autoSpaceDN w:val="0"/>
        <w:adjustRightInd w:val="0"/>
        <w:spacing w:before="0" w:after="0"/>
        <w:jc w:val="left"/>
        <w:rPr>
          <w:rFonts w:eastAsia="Times New Roman"/>
          <w:sz w:val="24"/>
          <w:szCs w:val="24"/>
        </w:rPr>
      </w:pPr>
      <w:r>
        <w:rPr>
          <w:sz w:val="25"/>
          <w:szCs w:val="25"/>
        </w:rPr>
        <w:t xml:space="preserve">Agreement or any amendment to it, no matter how remote or contingent such beneficiary's interest appears, or any legal heir of the </w:t>
      </w:r>
      <w:proofErr w:type="spellStart"/>
      <w:r>
        <w:rPr>
          <w:sz w:val="25"/>
          <w:szCs w:val="25"/>
        </w:rPr>
        <w:t>Trustor</w:t>
      </w:r>
      <w:proofErr w:type="spellEnd"/>
      <w:r>
        <w:rPr>
          <w:sz w:val="25"/>
          <w:szCs w:val="25"/>
        </w:rPr>
        <w:t xml:space="preserve">, or either of them, or any legal heir of any prior or future spouse of the </w:t>
      </w:r>
      <w:proofErr w:type="spellStart"/>
      <w:r>
        <w:rPr>
          <w:sz w:val="25"/>
          <w:szCs w:val="25"/>
        </w:rPr>
        <w:t>Trustor</w:t>
      </w:r>
      <w:proofErr w:type="spellEnd"/>
      <w:r>
        <w:rPr>
          <w:sz w:val="25"/>
          <w:szCs w:val="25"/>
        </w:rPr>
        <w:t xml:space="preserve"> (whether or not married to the </w:t>
      </w:r>
      <w:proofErr w:type="spellStart"/>
      <w:r>
        <w:rPr>
          <w:sz w:val="25"/>
          <w:szCs w:val="25"/>
        </w:rPr>
        <w:t>Trustor</w:t>
      </w:r>
      <w:proofErr w:type="spellEnd"/>
      <w:r>
        <w:rPr>
          <w:sz w:val="25"/>
          <w:szCs w:val="25"/>
        </w:rPr>
        <w:t xml:space="preserve"> at the time of the </w:t>
      </w:r>
      <w:proofErr w:type="spellStart"/>
      <w:r>
        <w:rPr>
          <w:sz w:val="25"/>
          <w:szCs w:val="25"/>
        </w:rPr>
        <w:t>Trustor's</w:t>
      </w:r>
      <w:proofErr w:type="spellEnd"/>
      <w:r>
        <w:rPr>
          <w:sz w:val="25"/>
          <w:szCs w:val="25"/>
        </w:rPr>
        <w:t xml:space="preserve"> death), or any person claiming under any of them, directly or indirectly does any of the following, then in that event the </w:t>
      </w:r>
      <w:proofErr w:type="spellStart"/>
      <w:r>
        <w:rPr>
          <w:sz w:val="25"/>
          <w:szCs w:val="25"/>
        </w:rPr>
        <w:t>Trustor</w:t>
      </w:r>
      <w:proofErr w:type="spellEnd"/>
      <w:r>
        <w:rPr>
          <w:sz w:val="25"/>
          <w:szCs w:val="25"/>
        </w:rPr>
        <w:t xml:space="preserve"> specifically disinherits each such person, and all such legacies, bequests, devises and interests given to that person under the Trust Agreement or any amendment to it shall be forfeited and shall be distributed as provided elsewhere herein as though he or she had predeceased the </w:t>
      </w:r>
      <w:proofErr w:type="spellStart"/>
      <w:r>
        <w:rPr>
          <w:sz w:val="25"/>
          <w:szCs w:val="25"/>
        </w:rPr>
        <w:t>Trustor</w:t>
      </w:r>
      <w:proofErr w:type="spellEnd"/>
      <w:r>
        <w:rPr>
          <w:sz w:val="25"/>
          <w:szCs w:val="25"/>
        </w:rPr>
        <w:t xml:space="preserve"> without issue:</w:t>
      </w:r>
    </w:p>
    <w:p w:rsidR="00E930EE" w:rsidRPr="00A4244E" w:rsidRDefault="00E930EE" w:rsidP="00E930EE">
      <w:pPr>
        <w:pStyle w:val="ListParagraph"/>
        <w:numPr>
          <w:ilvl w:val="0"/>
          <w:numId w:val="15"/>
        </w:numPr>
        <w:autoSpaceDE w:val="0"/>
        <w:autoSpaceDN w:val="0"/>
        <w:adjustRightInd w:val="0"/>
        <w:spacing w:before="0" w:after="0"/>
        <w:ind w:left="360"/>
        <w:jc w:val="left"/>
        <w:rPr>
          <w:sz w:val="25"/>
          <w:szCs w:val="25"/>
        </w:rPr>
      </w:pPr>
      <w:r w:rsidRPr="00A4244E">
        <w:rPr>
          <w:sz w:val="25"/>
          <w:szCs w:val="25"/>
        </w:rPr>
        <w:t>unsuccessfully challenges the appointment of any person named as a Trustee, Special Co-Trustee or Trust Protector pursuant to the Trust Agreement or any amendment to it, or unsuccessfully seeks the removal of any person acting as a Trustee, Special Co-Trustee or Trust Protector;</w:t>
      </w:r>
    </w:p>
    <w:p w:rsidR="00E930EE" w:rsidRPr="00A4244E" w:rsidRDefault="00E930EE" w:rsidP="00E930EE">
      <w:pPr>
        <w:pStyle w:val="ListParagraph"/>
        <w:numPr>
          <w:ilvl w:val="0"/>
          <w:numId w:val="15"/>
        </w:numPr>
        <w:autoSpaceDE w:val="0"/>
        <w:autoSpaceDN w:val="0"/>
        <w:adjustRightInd w:val="0"/>
        <w:spacing w:before="0" w:after="0"/>
        <w:ind w:left="360"/>
        <w:jc w:val="left"/>
        <w:rPr>
          <w:sz w:val="25"/>
          <w:szCs w:val="25"/>
        </w:rPr>
      </w:pPr>
      <w:r w:rsidRPr="00A4244E">
        <w:rPr>
          <w:sz w:val="25"/>
          <w:szCs w:val="25"/>
        </w:rPr>
        <w:t>objects in any manner to any action taken or proposed to be</w:t>
      </w:r>
      <w:r>
        <w:rPr>
          <w:sz w:val="25"/>
          <w:szCs w:val="25"/>
        </w:rPr>
        <w:t xml:space="preserve"> </w:t>
      </w:r>
      <w:r w:rsidRPr="00A4244E">
        <w:rPr>
          <w:sz w:val="25"/>
          <w:szCs w:val="25"/>
        </w:rPr>
        <w:t>taken in good faith by the Trustee, Special Co-Trustee or Trust Protector pursuant to the Trust Agreement or any amendment to it, whether the Trustee, Special Co-Trustee or Trust Protector is acting under court order, notice of proposed action or otherwise, and said action or proposed action is later adjudicated by a court of competent jurisdiction to have been taken in good faith;</w:t>
      </w:r>
    </w:p>
    <w:p w:rsidR="00E930EE" w:rsidRPr="00A4244E" w:rsidRDefault="00E930EE" w:rsidP="00E930EE">
      <w:pPr>
        <w:pStyle w:val="ListParagraph"/>
        <w:numPr>
          <w:ilvl w:val="0"/>
          <w:numId w:val="15"/>
        </w:numPr>
        <w:autoSpaceDE w:val="0"/>
        <w:autoSpaceDN w:val="0"/>
        <w:adjustRightInd w:val="0"/>
        <w:spacing w:before="0" w:after="0"/>
        <w:ind w:left="360"/>
        <w:jc w:val="left"/>
        <w:rPr>
          <w:sz w:val="25"/>
          <w:szCs w:val="25"/>
        </w:rPr>
      </w:pPr>
      <w:r w:rsidRPr="00A4244E">
        <w:rPr>
          <w:sz w:val="25"/>
          <w:szCs w:val="25"/>
        </w:rPr>
        <w:t>objects to any construction or interpretation of the Trust Agreement or any amendment to it, or the provisions of either, that is adopted or proposed in good faith by the Trustee, Special Co-Trustee or Trust Protector, and said objection is later adjudicated by a court of competent jurisdiction to be an invalid objection;</w:t>
      </w:r>
    </w:p>
    <w:p w:rsidR="00E930EE" w:rsidRPr="00A4244E" w:rsidRDefault="00E930EE" w:rsidP="00E930EE">
      <w:pPr>
        <w:pStyle w:val="ListParagraph"/>
        <w:numPr>
          <w:ilvl w:val="0"/>
          <w:numId w:val="15"/>
        </w:numPr>
        <w:autoSpaceDE w:val="0"/>
        <w:autoSpaceDN w:val="0"/>
        <w:adjustRightInd w:val="0"/>
        <w:spacing w:before="0" w:after="0"/>
        <w:ind w:left="360"/>
        <w:jc w:val="left"/>
        <w:rPr>
          <w:sz w:val="25"/>
          <w:szCs w:val="25"/>
        </w:rPr>
      </w:pPr>
      <w:r w:rsidRPr="00A4244E">
        <w:rPr>
          <w:sz w:val="25"/>
          <w:szCs w:val="25"/>
        </w:rPr>
        <w:t xml:space="preserve">claims entitlement to (or an interest in) any asset alleged by the Trustee to belong to the </w:t>
      </w:r>
      <w:proofErr w:type="spellStart"/>
      <w:r w:rsidRPr="00A4244E">
        <w:rPr>
          <w:sz w:val="25"/>
          <w:szCs w:val="25"/>
        </w:rPr>
        <w:t>Trustor's</w:t>
      </w:r>
      <w:proofErr w:type="spellEnd"/>
      <w:r w:rsidRPr="00A4244E">
        <w:rPr>
          <w:sz w:val="25"/>
          <w:szCs w:val="25"/>
        </w:rPr>
        <w:t xml:space="preserve"> estates (whether passing through the </w:t>
      </w:r>
      <w:proofErr w:type="spellStart"/>
      <w:r w:rsidRPr="00A4244E">
        <w:rPr>
          <w:sz w:val="25"/>
          <w:szCs w:val="25"/>
        </w:rPr>
        <w:t>Trustor's</w:t>
      </w:r>
      <w:proofErr w:type="spellEnd"/>
      <w:r w:rsidRPr="00A4244E">
        <w:rPr>
          <w:sz w:val="25"/>
          <w:szCs w:val="25"/>
        </w:rPr>
        <w:t xml:space="preserve"> probate estate, or by way of operation of law or through the </w:t>
      </w:r>
      <w:proofErr w:type="spellStart"/>
      <w:r w:rsidRPr="00A4244E">
        <w:rPr>
          <w:sz w:val="25"/>
          <w:szCs w:val="25"/>
        </w:rPr>
        <w:t>Trustor's</w:t>
      </w:r>
      <w:proofErr w:type="spellEnd"/>
      <w:r w:rsidRPr="00A4244E">
        <w:rPr>
          <w:sz w:val="25"/>
          <w:szCs w:val="25"/>
        </w:rPr>
        <w:t xml:space="preserve"> Living Trust, IRA Inheritance Trust, if any, or otherwise), whether such claim is based upon a community or separate property right, right to support or allowance, a contract or promise to leave something by will or trust (whether written or oral and even if in exchange for personal or other services to the </w:t>
      </w:r>
      <w:proofErr w:type="spellStart"/>
      <w:r w:rsidRPr="00A4244E">
        <w:rPr>
          <w:sz w:val="25"/>
          <w:szCs w:val="25"/>
        </w:rPr>
        <w:lastRenderedPageBreak/>
        <w:t>Trustor</w:t>
      </w:r>
      <w:proofErr w:type="spellEnd"/>
      <w:r w:rsidRPr="00A4244E">
        <w:rPr>
          <w:sz w:val="25"/>
          <w:szCs w:val="25"/>
        </w:rPr>
        <w:t xml:space="preserve">), "quantum </w:t>
      </w:r>
      <w:proofErr w:type="spellStart"/>
      <w:r w:rsidRPr="00A4244E">
        <w:rPr>
          <w:sz w:val="25"/>
          <w:szCs w:val="25"/>
        </w:rPr>
        <w:t>meruit</w:t>
      </w:r>
      <w:proofErr w:type="spellEnd"/>
      <w:r w:rsidRPr="00A4244E">
        <w:rPr>
          <w:sz w:val="25"/>
          <w:szCs w:val="25"/>
        </w:rPr>
        <w:t xml:space="preserve">," constructive trust, or any other property right or device, and said claim is later adjudicated by a </w:t>
      </w:r>
      <w:proofErr w:type="spellStart"/>
      <w:r w:rsidRPr="00A4244E">
        <w:rPr>
          <w:sz w:val="25"/>
          <w:szCs w:val="25"/>
        </w:rPr>
        <w:t>comi</w:t>
      </w:r>
      <w:proofErr w:type="spellEnd"/>
      <w:r w:rsidRPr="00A4244E">
        <w:rPr>
          <w:sz w:val="25"/>
          <w:szCs w:val="25"/>
        </w:rPr>
        <w:t xml:space="preserve"> of competent jurisdiction to be invalid;</w:t>
      </w:r>
    </w:p>
    <w:p w:rsidR="00E930EE" w:rsidRPr="00A4244E" w:rsidRDefault="00E930EE" w:rsidP="00E930EE">
      <w:pPr>
        <w:pStyle w:val="ListParagraph"/>
        <w:numPr>
          <w:ilvl w:val="0"/>
          <w:numId w:val="15"/>
        </w:numPr>
        <w:autoSpaceDE w:val="0"/>
        <w:autoSpaceDN w:val="0"/>
        <w:adjustRightInd w:val="0"/>
        <w:spacing w:before="0" w:after="0"/>
        <w:ind w:left="360"/>
        <w:jc w:val="left"/>
        <w:rPr>
          <w:sz w:val="25"/>
          <w:szCs w:val="25"/>
        </w:rPr>
      </w:pPr>
      <w:r w:rsidRPr="00A4244E">
        <w:rPr>
          <w:sz w:val="25"/>
          <w:szCs w:val="25"/>
        </w:rPr>
        <w:t xml:space="preserve">files a creditor's claim against the assets of the </w:t>
      </w:r>
      <w:proofErr w:type="spellStart"/>
      <w:r w:rsidRPr="00A4244E">
        <w:rPr>
          <w:sz w:val="25"/>
          <w:szCs w:val="25"/>
        </w:rPr>
        <w:t>Trustor's</w:t>
      </w:r>
      <w:proofErr w:type="spellEnd"/>
      <w:r w:rsidRPr="00A4244E">
        <w:rPr>
          <w:sz w:val="25"/>
          <w:szCs w:val="25"/>
        </w:rPr>
        <w:t xml:space="preserve"> estate (whether passing through the </w:t>
      </w:r>
      <w:proofErr w:type="spellStart"/>
      <w:r w:rsidRPr="00A4244E">
        <w:rPr>
          <w:sz w:val="25"/>
          <w:szCs w:val="25"/>
        </w:rPr>
        <w:t>Trustor's</w:t>
      </w:r>
      <w:proofErr w:type="spellEnd"/>
      <w:r w:rsidRPr="00A4244E">
        <w:rPr>
          <w:sz w:val="25"/>
          <w:szCs w:val="25"/>
        </w:rPr>
        <w:t xml:space="preserve"> probate estate, or by way of operation of law or through the </w:t>
      </w:r>
      <w:proofErr w:type="spellStart"/>
      <w:r w:rsidRPr="00A4244E">
        <w:rPr>
          <w:sz w:val="25"/>
          <w:szCs w:val="25"/>
        </w:rPr>
        <w:t>Trustor's</w:t>
      </w:r>
      <w:proofErr w:type="spellEnd"/>
      <w:r w:rsidRPr="00A4244E">
        <w:rPr>
          <w:sz w:val="25"/>
          <w:szCs w:val="25"/>
        </w:rPr>
        <w:t xml:space="preserve"> Living Trust, IRA Inheritance Trust, if any, or otherwise) and such claim is later adjudicated by a court of competent jurisdiction to be invalid;</w:t>
      </w:r>
    </w:p>
    <w:p w:rsidR="00E930EE" w:rsidRPr="00A4244E" w:rsidRDefault="00E930EE" w:rsidP="00E930EE">
      <w:pPr>
        <w:pStyle w:val="ListParagraph"/>
        <w:numPr>
          <w:ilvl w:val="0"/>
          <w:numId w:val="15"/>
        </w:numPr>
        <w:autoSpaceDE w:val="0"/>
        <w:autoSpaceDN w:val="0"/>
        <w:adjustRightInd w:val="0"/>
        <w:spacing w:before="0" w:after="0"/>
        <w:ind w:left="360"/>
        <w:jc w:val="left"/>
        <w:rPr>
          <w:sz w:val="25"/>
          <w:szCs w:val="25"/>
        </w:rPr>
      </w:pPr>
      <w:r w:rsidRPr="00A4244E">
        <w:rPr>
          <w:sz w:val="25"/>
          <w:szCs w:val="25"/>
        </w:rPr>
        <w:t xml:space="preserve">anyone other than the </w:t>
      </w:r>
      <w:proofErr w:type="spellStart"/>
      <w:r w:rsidRPr="00A4244E">
        <w:rPr>
          <w:sz w:val="25"/>
          <w:szCs w:val="25"/>
        </w:rPr>
        <w:t>Trustor</w:t>
      </w:r>
      <w:proofErr w:type="spellEnd"/>
      <w:r w:rsidRPr="00A4244E">
        <w:rPr>
          <w:sz w:val="25"/>
          <w:szCs w:val="25"/>
        </w:rPr>
        <w:t xml:space="preserve"> attacks or seeks to impair or invalidate (whether</w:t>
      </w:r>
    </w:p>
    <w:p w:rsidR="00E930EE" w:rsidRPr="00A4244E" w:rsidRDefault="00E930EE" w:rsidP="00E930EE">
      <w:pPr>
        <w:pStyle w:val="ListParagraph"/>
        <w:numPr>
          <w:ilvl w:val="0"/>
          <w:numId w:val="14"/>
        </w:numPr>
        <w:autoSpaceDE w:val="0"/>
        <w:autoSpaceDN w:val="0"/>
        <w:adjustRightInd w:val="0"/>
        <w:spacing w:before="0" w:after="0"/>
        <w:ind w:left="360"/>
        <w:jc w:val="left"/>
        <w:rPr>
          <w:sz w:val="25"/>
          <w:szCs w:val="25"/>
        </w:rPr>
      </w:pPr>
      <w:r w:rsidRPr="00A4244E">
        <w:rPr>
          <w:sz w:val="25"/>
          <w:szCs w:val="25"/>
        </w:rPr>
        <w:t xml:space="preserve">or not any such attack or attempt is successful) any designation of beneficiaries for any insurance policy on the </w:t>
      </w:r>
      <w:proofErr w:type="spellStart"/>
      <w:r w:rsidRPr="00A4244E">
        <w:rPr>
          <w:sz w:val="25"/>
          <w:szCs w:val="25"/>
        </w:rPr>
        <w:t>Trustor's</w:t>
      </w:r>
      <w:proofErr w:type="spellEnd"/>
      <w:r w:rsidRPr="00A4244E">
        <w:rPr>
          <w:sz w:val="25"/>
          <w:szCs w:val="25"/>
        </w:rPr>
        <w:t xml:space="preserve"> life or any designation of beneficiaries for any bank or brokerage account, pension plan, Keogh, SEP or IRA account, employee benefit plan, deferred compensation plan, retirement plan, annuity or other Will substitute of the </w:t>
      </w:r>
      <w:proofErr w:type="spellStart"/>
      <w:r w:rsidRPr="00A4244E">
        <w:rPr>
          <w:sz w:val="25"/>
          <w:szCs w:val="25"/>
        </w:rPr>
        <w:t>Trustor</w:t>
      </w:r>
      <w:proofErr w:type="spellEnd"/>
      <w:r w:rsidRPr="00A4244E">
        <w:rPr>
          <w:sz w:val="25"/>
          <w:szCs w:val="25"/>
        </w:rPr>
        <w:t>;</w:t>
      </w:r>
    </w:p>
    <w:p w:rsidR="00E930EE" w:rsidRPr="00A4244E" w:rsidRDefault="00E930EE" w:rsidP="00E930EE">
      <w:pPr>
        <w:pStyle w:val="ListParagraph"/>
        <w:numPr>
          <w:ilvl w:val="0"/>
          <w:numId w:val="15"/>
        </w:numPr>
        <w:autoSpaceDE w:val="0"/>
        <w:autoSpaceDN w:val="0"/>
        <w:adjustRightInd w:val="0"/>
        <w:spacing w:before="0" w:after="0"/>
        <w:ind w:left="360"/>
        <w:jc w:val="left"/>
        <w:rPr>
          <w:sz w:val="24"/>
          <w:szCs w:val="24"/>
        </w:rPr>
      </w:pPr>
      <w:r w:rsidRPr="00A4244E">
        <w:rPr>
          <w:sz w:val="25"/>
          <w:szCs w:val="25"/>
        </w:rPr>
        <w:t xml:space="preserve">in any other manner contests this Trust or any amendment to it executed by the </w:t>
      </w:r>
      <w:proofErr w:type="spellStart"/>
      <w:r w:rsidRPr="00A4244E">
        <w:rPr>
          <w:sz w:val="25"/>
          <w:szCs w:val="25"/>
        </w:rPr>
        <w:t>Trustor</w:t>
      </w:r>
      <w:proofErr w:type="spellEnd"/>
      <w:r w:rsidRPr="00A4244E">
        <w:rPr>
          <w:sz w:val="25"/>
          <w:szCs w:val="25"/>
        </w:rPr>
        <w:t xml:space="preserve"> (including its legality or the legality of any provision thereof, on the basis of incapacity, undue influence, or otherwise), or in any other manner,</w:t>
      </w:r>
      <w:r w:rsidRPr="00A4244E">
        <w:rPr>
          <w:rFonts w:eastAsia="Times New Roman"/>
          <w:sz w:val="24"/>
          <w:szCs w:val="24"/>
        </w:rPr>
        <w:t xml:space="preserve"> </w:t>
      </w:r>
      <w:r w:rsidRPr="00A4244E">
        <w:rPr>
          <w:sz w:val="24"/>
          <w:szCs w:val="24"/>
        </w:rPr>
        <w:t>attacks or seeks to impair or invalidate this Trust, any such amendment or any of their provisions;</w:t>
      </w:r>
    </w:p>
    <w:p w:rsidR="00E930EE" w:rsidRPr="00A4244E" w:rsidRDefault="00E930EE" w:rsidP="00E930EE">
      <w:pPr>
        <w:pStyle w:val="ListParagraph"/>
        <w:numPr>
          <w:ilvl w:val="0"/>
          <w:numId w:val="15"/>
        </w:numPr>
        <w:autoSpaceDE w:val="0"/>
        <w:autoSpaceDN w:val="0"/>
        <w:adjustRightInd w:val="0"/>
        <w:spacing w:before="0" w:after="0"/>
        <w:ind w:left="360"/>
        <w:jc w:val="left"/>
        <w:rPr>
          <w:sz w:val="24"/>
          <w:szCs w:val="24"/>
        </w:rPr>
      </w:pPr>
      <w:r w:rsidRPr="00A4244E">
        <w:rPr>
          <w:sz w:val="24"/>
          <w:szCs w:val="24"/>
        </w:rPr>
        <w:t>conspires with or voluntarily assists anyone attempting to do any of the above acts;</w:t>
      </w:r>
    </w:p>
    <w:p w:rsidR="00E930EE" w:rsidRPr="00A4244E" w:rsidRDefault="00E930EE" w:rsidP="00E930EE">
      <w:pPr>
        <w:pStyle w:val="ListParagraph"/>
        <w:numPr>
          <w:ilvl w:val="0"/>
          <w:numId w:val="15"/>
        </w:numPr>
        <w:autoSpaceDE w:val="0"/>
        <w:autoSpaceDN w:val="0"/>
        <w:adjustRightInd w:val="0"/>
        <w:spacing w:before="0" w:after="0"/>
        <w:ind w:left="360"/>
        <w:jc w:val="left"/>
        <w:rPr>
          <w:rFonts w:eastAsia="Times New Roman"/>
          <w:sz w:val="24"/>
          <w:szCs w:val="24"/>
        </w:rPr>
      </w:pPr>
      <w:proofErr w:type="gramStart"/>
      <w:r w:rsidRPr="00A4244E">
        <w:rPr>
          <w:sz w:val="24"/>
          <w:szCs w:val="24"/>
        </w:rPr>
        <w:t>refuses</w:t>
      </w:r>
      <w:proofErr w:type="gramEnd"/>
      <w:r w:rsidRPr="00A4244E">
        <w:rPr>
          <w:sz w:val="24"/>
          <w:szCs w:val="24"/>
        </w:rPr>
        <w:t xml:space="preserve"> a request of the Trustee to assist in the legal defense against any of the above actions.</w:t>
      </w:r>
    </w:p>
    <w:p w:rsidR="00E930EE" w:rsidRDefault="00E930EE" w:rsidP="00E930EE">
      <w:pPr>
        <w:rPr>
          <w:rFonts w:eastAsia="Times New Roman"/>
          <w:sz w:val="24"/>
          <w:szCs w:val="24"/>
        </w:rPr>
      </w:pPr>
    </w:p>
    <w:p w:rsidR="00E930EE" w:rsidRDefault="00E930EE" w:rsidP="00E930EE">
      <w:pPr>
        <w:rPr>
          <w:rFonts w:eastAsia="Times New Roman"/>
          <w:sz w:val="24"/>
          <w:szCs w:val="24"/>
        </w:rPr>
      </w:pPr>
      <w:r>
        <w:rPr>
          <w:rFonts w:eastAsia="Times New Roman"/>
          <w:sz w:val="24"/>
          <w:szCs w:val="24"/>
        </w:rPr>
        <w:t>The questions that arise here are</w:t>
      </w:r>
    </w:p>
    <w:p w:rsidR="00E930EE" w:rsidRDefault="00E930EE" w:rsidP="00E930EE">
      <w:pPr>
        <w:pStyle w:val="ListParagraph"/>
        <w:numPr>
          <w:ilvl w:val="0"/>
          <w:numId w:val="17"/>
        </w:numPr>
        <w:rPr>
          <w:rFonts w:eastAsia="Times New Roman"/>
          <w:sz w:val="24"/>
          <w:szCs w:val="24"/>
        </w:rPr>
      </w:pPr>
      <w:r>
        <w:rPr>
          <w:rFonts w:eastAsia="Times New Roman"/>
          <w:sz w:val="24"/>
          <w:szCs w:val="24"/>
        </w:rPr>
        <w:t>Who are the trustees?</w:t>
      </w:r>
    </w:p>
    <w:p w:rsidR="00E930EE" w:rsidRDefault="00E930EE" w:rsidP="00E930EE">
      <w:pPr>
        <w:pStyle w:val="ListParagraph"/>
        <w:numPr>
          <w:ilvl w:val="0"/>
          <w:numId w:val="17"/>
        </w:numPr>
        <w:rPr>
          <w:rFonts w:eastAsia="Times New Roman"/>
          <w:sz w:val="24"/>
          <w:szCs w:val="24"/>
        </w:rPr>
      </w:pPr>
      <w:r>
        <w:rPr>
          <w:rFonts w:eastAsia="Times New Roman"/>
          <w:sz w:val="24"/>
          <w:szCs w:val="24"/>
        </w:rPr>
        <w:t>Who brought litigation or caused litigation to be brought and for what purpose?</w:t>
      </w:r>
    </w:p>
    <w:p w:rsidR="00E930EE" w:rsidRDefault="00E930EE" w:rsidP="00E930EE">
      <w:pPr>
        <w:pStyle w:val="ListParagraph"/>
        <w:numPr>
          <w:ilvl w:val="0"/>
          <w:numId w:val="17"/>
        </w:numPr>
        <w:rPr>
          <w:rFonts w:eastAsia="Times New Roman"/>
          <w:sz w:val="24"/>
          <w:szCs w:val="24"/>
        </w:rPr>
      </w:pPr>
      <w:r>
        <w:rPr>
          <w:rFonts w:eastAsia="Times New Roman"/>
          <w:sz w:val="24"/>
          <w:szCs w:val="24"/>
        </w:rPr>
        <w:t>If the archetype of this alleged 8/25/2010 QBD/TPA can be produced and its chain of custody and control can be established there will still remain the question of whether or not it is a valid instrument under the provisions of the 2005 trust indenture and to what, if any extent, it alters or amends the 2005 trust indenture as amended in 2007.</w:t>
      </w:r>
    </w:p>
    <w:p w:rsidR="00C221A0" w:rsidRDefault="00C221A0" w:rsidP="00C221A0">
      <w:pPr>
        <w:pStyle w:val="ListParagraph"/>
        <w:numPr>
          <w:ilvl w:val="1"/>
          <w:numId w:val="17"/>
        </w:numPr>
        <w:rPr>
          <w:rFonts w:eastAsia="Times New Roman"/>
          <w:sz w:val="24"/>
          <w:szCs w:val="24"/>
        </w:rPr>
      </w:pPr>
      <w:r>
        <w:rPr>
          <w:rFonts w:eastAsia="Times New Roman"/>
          <w:sz w:val="24"/>
          <w:szCs w:val="24"/>
        </w:rPr>
        <w:t xml:space="preserve">First off, we will need to separate the “Qualified Beneficiary Designation” from the “Testamentary Power of Appointment”  </w:t>
      </w:r>
    </w:p>
    <w:p w:rsidR="00E930EE" w:rsidRPr="00E930EE" w:rsidRDefault="00E930EE" w:rsidP="00E930EE">
      <w:pPr>
        <w:pStyle w:val="ListParagraph"/>
        <w:numPr>
          <w:ilvl w:val="0"/>
          <w:numId w:val="17"/>
        </w:numPr>
        <w:rPr>
          <w:rFonts w:eastAsia="Times New Roman"/>
          <w:sz w:val="24"/>
          <w:szCs w:val="24"/>
        </w:rPr>
      </w:pPr>
    </w:p>
    <w:p w:rsidR="00E930EE" w:rsidRDefault="00E930EE" w:rsidP="00E930EE">
      <w:pPr>
        <w:rPr>
          <w:rFonts w:eastAsia="Times New Roman"/>
          <w:sz w:val="24"/>
          <w:szCs w:val="24"/>
        </w:rPr>
      </w:pPr>
    </w:p>
    <w:p w:rsidR="00E930EE" w:rsidRDefault="00E930EE" w:rsidP="00E930EE">
      <w:pPr>
        <w:rPr>
          <w:rFonts w:eastAsia="Times New Roman"/>
          <w:sz w:val="24"/>
          <w:szCs w:val="24"/>
        </w:rPr>
      </w:pPr>
    </w:p>
    <w:p w:rsidR="00E930EE" w:rsidRDefault="00E930EE" w:rsidP="00E930EE">
      <w:pPr>
        <w:rPr>
          <w:rFonts w:eastAsia="Times New Roman"/>
          <w:sz w:val="24"/>
          <w:szCs w:val="24"/>
        </w:rPr>
      </w:pPr>
    </w:p>
    <w:p w:rsidR="00E930EE" w:rsidRDefault="00E930EE" w:rsidP="00E930EE">
      <w:pPr>
        <w:rPr>
          <w:rFonts w:eastAsia="Times New Roman"/>
          <w:sz w:val="24"/>
          <w:szCs w:val="24"/>
        </w:rPr>
      </w:pPr>
    </w:p>
    <w:p w:rsidR="00E930EE" w:rsidRDefault="00E930EE" w:rsidP="00E930EE">
      <w:pPr>
        <w:rPr>
          <w:rFonts w:eastAsia="Times New Roman"/>
          <w:sz w:val="24"/>
          <w:szCs w:val="24"/>
        </w:rPr>
      </w:pPr>
    </w:p>
    <w:p w:rsidR="00E930EE" w:rsidRDefault="00E930EE" w:rsidP="00E930EE">
      <w:pPr>
        <w:rPr>
          <w:rFonts w:eastAsia="Times New Roman"/>
          <w:sz w:val="24"/>
          <w:szCs w:val="24"/>
        </w:rPr>
      </w:pPr>
      <w:r>
        <w:rPr>
          <w:rFonts w:eastAsia="Times New Roman"/>
          <w:sz w:val="24"/>
          <w:szCs w:val="24"/>
        </w:rPr>
        <w:t>The August 25, 2010 QBD/TPA</w:t>
      </w:r>
    </w:p>
    <w:p w:rsidR="00E930EE" w:rsidRDefault="00E930EE" w:rsidP="00E930EE">
      <w:pPr>
        <w:pStyle w:val="ListParagraph"/>
        <w:numPr>
          <w:ilvl w:val="0"/>
          <w:numId w:val="13"/>
        </w:numPr>
        <w:rPr>
          <w:rFonts w:eastAsia="Times New Roman"/>
          <w:sz w:val="24"/>
          <w:szCs w:val="24"/>
        </w:rPr>
      </w:pPr>
      <w:r>
        <w:rPr>
          <w:rFonts w:eastAsia="Times New Roman"/>
          <w:sz w:val="24"/>
          <w:szCs w:val="24"/>
        </w:rPr>
        <w:t>Amy and Anita cannot produce the 8/25/2010 QBD/TPA and qualify it as evidence.</w:t>
      </w:r>
    </w:p>
    <w:p w:rsidR="00E930EE" w:rsidRDefault="00E930EE" w:rsidP="00E930EE">
      <w:pPr>
        <w:pStyle w:val="ListParagraph"/>
        <w:numPr>
          <w:ilvl w:val="1"/>
          <w:numId w:val="13"/>
        </w:numPr>
        <w:rPr>
          <w:rFonts w:eastAsia="Times New Roman"/>
          <w:sz w:val="24"/>
          <w:szCs w:val="24"/>
        </w:rPr>
      </w:pPr>
      <w:r>
        <w:rPr>
          <w:rFonts w:eastAsia="Times New Roman"/>
          <w:sz w:val="24"/>
          <w:szCs w:val="24"/>
        </w:rPr>
        <w:t>It is not in evidence</w:t>
      </w:r>
    </w:p>
    <w:p w:rsidR="00E930EE" w:rsidRDefault="00E930EE" w:rsidP="00E930EE">
      <w:pPr>
        <w:pStyle w:val="ListParagraph"/>
        <w:numPr>
          <w:ilvl w:val="1"/>
          <w:numId w:val="13"/>
        </w:numPr>
        <w:rPr>
          <w:rFonts w:eastAsia="Times New Roman"/>
          <w:sz w:val="24"/>
          <w:szCs w:val="24"/>
        </w:rPr>
      </w:pPr>
      <w:r>
        <w:rPr>
          <w:rFonts w:eastAsia="Times New Roman"/>
          <w:sz w:val="24"/>
          <w:szCs w:val="24"/>
        </w:rPr>
        <w:t>Purports to change irrevocable trust to give Anita and Amy “sole and absolute discretion” to not distribute anything to anyone else.</w:t>
      </w:r>
    </w:p>
    <w:p w:rsidR="00E930EE" w:rsidRDefault="00E930EE" w:rsidP="00E930EE">
      <w:pPr>
        <w:pStyle w:val="ListParagraph"/>
        <w:numPr>
          <w:ilvl w:val="1"/>
          <w:numId w:val="13"/>
        </w:numPr>
        <w:rPr>
          <w:rFonts w:eastAsia="Times New Roman"/>
          <w:sz w:val="24"/>
          <w:szCs w:val="24"/>
        </w:rPr>
      </w:pPr>
      <w:r>
        <w:rPr>
          <w:rFonts w:eastAsia="Times New Roman"/>
          <w:sz w:val="24"/>
          <w:szCs w:val="24"/>
        </w:rPr>
        <w:t xml:space="preserve">The 8/25/2010 QBD/TPA was the second QBD/TPA instrument.  </w:t>
      </w:r>
    </w:p>
    <w:p w:rsidR="00E930EE" w:rsidRDefault="00E930EE" w:rsidP="00E930EE">
      <w:pPr>
        <w:pStyle w:val="ListParagraph"/>
        <w:numPr>
          <w:ilvl w:val="1"/>
          <w:numId w:val="13"/>
        </w:numPr>
        <w:rPr>
          <w:rFonts w:eastAsia="Times New Roman"/>
          <w:sz w:val="24"/>
          <w:szCs w:val="24"/>
        </w:rPr>
      </w:pPr>
      <w:r>
        <w:rPr>
          <w:rFonts w:eastAsia="Times New Roman"/>
          <w:sz w:val="24"/>
          <w:szCs w:val="24"/>
        </w:rPr>
        <w:t>Both allegedly signed by Nelva alone</w:t>
      </w:r>
    </w:p>
    <w:p w:rsidR="00E930EE" w:rsidRDefault="00E930EE" w:rsidP="00E930EE">
      <w:pPr>
        <w:pStyle w:val="ListParagraph"/>
        <w:numPr>
          <w:ilvl w:val="1"/>
          <w:numId w:val="13"/>
        </w:numPr>
        <w:rPr>
          <w:rFonts w:eastAsia="Times New Roman"/>
          <w:sz w:val="24"/>
          <w:szCs w:val="24"/>
        </w:rPr>
      </w:pPr>
      <w:r>
        <w:rPr>
          <w:rFonts w:eastAsia="Times New Roman"/>
          <w:sz w:val="24"/>
          <w:szCs w:val="24"/>
        </w:rPr>
        <w:lastRenderedPageBreak/>
        <w:t xml:space="preserve">Second QBD/TPA does not repeal the first QBD/TPA but ratifies it </w:t>
      </w:r>
    </w:p>
    <w:p w:rsidR="00E930EE" w:rsidRDefault="00E930EE" w:rsidP="00E930EE">
      <w:pPr>
        <w:pStyle w:val="ListParagraph"/>
        <w:numPr>
          <w:ilvl w:val="1"/>
          <w:numId w:val="13"/>
        </w:numPr>
        <w:rPr>
          <w:rFonts w:eastAsia="Times New Roman"/>
          <w:sz w:val="24"/>
          <w:szCs w:val="24"/>
        </w:rPr>
      </w:pPr>
      <w:r>
        <w:rPr>
          <w:rFonts w:eastAsia="Times New Roman"/>
          <w:sz w:val="24"/>
          <w:szCs w:val="24"/>
        </w:rPr>
        <w:t>Three distinctly different signature page versions appear in the record</w:t>
      </w:r>
    </w:p>
    <w:p w:rsidR="00E930EE" w:rsidRDefault="00E930EE" w:rsidP="00E930EE">
      <w:pPr>
        <w:pStyle w:val="ListParagraph"/>
        <w:numPr>
          <w:ilvl w:val="1"/>
          <w:numId w:val="13"/>
        </w:numPr>
        <w:rPr>
          <w:rFonts w:eastAsia="Times New Roman"/>
          <w:sz w:val="24"/>
          <w:szCs w:val="24"/>
        </w:rPr>
      </w:pPr>
      <w:r>
        <w:rPr>
          <w:rFonts w:eastAsia="Times New Roman"/>
          <w:sz w:val="24"/>
          <w:szCs w:val="24"/>
        </w:rPr>
        <w:t>There is only One Notary Log Entry</w:t>
      </w:r>
    </w:p>
    <w:p w:rsidR="00E930EE" w:rsidRDefault="00E930EE" w:rsidP="00E930EE">
      <w:pPr>
        <w:pStyle w:val="ListParagraph"/>
        <w:numPr>
          <w:ilvl w:val="1"/>
          <w:numId w:val="13"/>
        </w:numPr>
        <w:rPr>
          <w:rFonts w:eastAsia="Times New Roman"/>
          <w:sz w:val="24"/>
          <w:szCs w:val="24"/>
        </w:rPr>
      </w:pPr>
      <w:r>
        <w:rPr>
          <w:rFonts w:eastAsia="Times New Roman"/>
          <w:sz w:val="24"/>
          <w:szCs w:val="24"/>
        </w:rPr>
        <w:t xml:space="preserve">Nelva says it’s not true in her own hand </w:t>
      </w:r>
    </w:p>
    <w:p w:rsidR="00E930EE" w:rsidRDefault="00E930EE" w:rsidP="00E930EE">
      <w:pPr>
        <w:pStyle w:val="ListParagraph"/>
        <w:numPr>
          <w:ilvl w:val="1"/>
          <w:numId w:val="13"/>
        </w:numPr>
        <w:rPr>
          <w:rFonts w:eastAsia="Times New Roman"/>
          <w:sz w:val="24"/>
          <w:szCs w:val="24"/>
        </w:rPr>
      </w:pPr>
      <w:r>
        <w:rPr>
          <w:rFonts w:eastAsia="Times New Roman"/>
          <w:sz w:val="24"/>
          <w:szCs w:val="24"/>
        </w:rPr>
        <w:t>Amy, Anita and Carole have each denied personal knowledge of its creation</w:t>
      </w:r>
    </w:p>
    <w:p w:rsidR="00E930EE" w:rsidRDefault="00E930EE" w:rsidP="00E930EE">
      <w:pPr>
        <w:pStyle w:val="ListParagraph"/>
        <w:numPr>
          <w:ilvl w:val="1"/>
          <w:numId w:val="13"/>
        </w:numPr>
        <w:rPr>
          <w:rFonts w:eastAsia="Times New Roman"/>
          <w:sz w:val="24"/>
          <w:szCs w:val="24"/>
        </w:rPr>
      </w:pPr>
      <w:r>
        <w:rPr>
          <w:rFonts w:eastAsia="Times New Roman"/>
          <w:sz w:val="24"/>
          <w:szCs w:val="24"/>
        </w:rPr>
        <w:t>The Testamentary Power of Appointment is a false thesis</w:t>
      </w:r>
    </w:p>
    <w:p w:rsidR="00E930EE" w:rsidRDefault="00E930EE" w:rsidP="00E930EE">
      <w:pPr>
        <w:pStyle w:val="ListParagraph"/>
        <w:numPr>
          <w:ilvl w:val="1"/>
          <w:numId w:val="13"/>
        </w:numPr>
        <w:rPr>
          <w:rFonts w:eastAsia="Times New Roman"/>
          <w:sz w:val="24"/>
          <w:szCs w:val="24"/>
        </w:rPr>
      </w:pPr>
      <w:r>
        <w:rPr>
          <w:rFonts w:eastAsia="Times New Roman"/>
          <w:sz w:val="24"/>
          <w:szCs w:val="24"/>
        </w:rPr>
        <w:t>There is no language in the In Terrorem Clause of the 8/25/2010 QBD/TPA that matches language in the In Terrorem Clause in the 2005 Restatement.</w:t>
      </w:r>
    </w:p>
    <w:p w:rsidR="00E930EE" w:rsidRDefault="00E930EE" w:rsidP="00E930EE">
      <w:pPr>
        <w:pStyle w:val="ListParagraph"/>
        <w:numPr>
          <w:ilvl w:val="1"/>
          <w:numId w:val="13"/>
        </w:numPr>
        <w:rPr>
          <w:rFonts w:eastAsia="Times New Roman"/>
          <w:sz w:val="24"/>
          <w:szCs w:val="24"/>
        </w:rPr>
      </w:pPr>
      <w:r>
        <w:rPr>
          <w:rFonts w:eastAsia="Times New Roman"/>
          <w:sz w:val="24"/>
          <w:szCs w:val="24"/>
        </w:rPr>
        <w:t>The In Terrorem Clause of the 8/25/2010 QBD/TPA contains corruption of blood provision which, if true, would enlarge the share of the claimants in violation of the In Terrorem Clause in the 2005 Restatement.</w:t>
      </w:r>
    </w:p>
    <w:p w:rsidR="00E930EE" w:rsidRDefault="00E930EE" w:rsidP="00E930EE">
      <w:pPr>
        <w:pStyle w:val="ListParagraph"/>
        <w:numPr>
          <w:ilvl w:val="0"/>
          <w:numId w:val="13"/>
        </w:numPr>
        <w:rPr>
          <w:rFonts w:eastAsia="Times New Roman"/>
          <w:sz w:val="24"/>
          <w:szCs w:val="24"/>
        </w:rPr>
      </w:pPr>
      <w:r w:rsidRPr="00F378E8">
        <w:rPr>
          <w:rFonts w:eastAsia="Times New Roman"/>
          <w:sz w:val="24"/>
          <w:szCs w:val="24"/>
        </w:rPr>
        <w:t xml:space="preserve"> </w:t>
      </w:r>
      <w:r>
        <w:rPr>
          <w:rFonts w:eastAsia="Times New Roman"/>
          <w:sz w:val="24"/>
          <w:szCs w:val="24"/>
        </w:rPr>
        <w:t>Nelva emailed Carl about the probate court corruption article in the Houston Chronicle and said “</w:t>
      </w:r>
      <w:r w:rsidRPr="00551760">
        <w:rPr>
          <w:rFonts w:eastAsia="Times New Roman"/>
          <w:b/>
          <w:sz w:val="24"/>
          <w:szCs w:val="24"/>
        </w:rPr>
        <w:t>That’s why we have the trust</w:t>
      </w:r>
      <w:r>
        <w:rPr>
          <w:rFonts w:eastAsia="Times New Roman"/>
          <w:sz w:val="24"/>
          <w:szCs w:val="24"/>
        </w:rPr>
        <w:t>. We hope you will fare better”</w:t>
      </w:r>
    </w:p>
    <w:p w:rsidR="00E930EE" w:rsidRDefault="00E930EE" w:rsidP="00E930EE">
      <w:pPr>
        <w:pStyle w:val="ListParagraph"/>
        <w:numPr>
          <w:ilvl w:val="0"/>
          <w:numId w:val="13"/>
        </w:numPr>
        <w:rPr>
          <w:rFonts w:eastAsia="Times New Roman"/>
          <w:sz w:val="24"/>
          <w:szCs w:val="24"/>
        </w:rPr>
      </w:pPr>
      <w:r>
        <w:rPr>
          <w:rFonts w:eastAsia="Times New Roman"/>
          <w:sz w:val="24"/>
          <w:szCs w:val="24"/>
        </w:rPr>
        <w:t xml:space="preserve">Nelva sent emails to both Amy and Anita in which she said “Everything gets </w:t>
      </w:r>
      <w:r w:rsidRPr="00551760">
        <w:rPr>
          <w:rFonts w:eastAsia="Times New Roman"/>
          <w:b/>
          <w:sz w:val="24"/>
          <w:szCs w:val="24"/>
        </w:rPr>
        <w:t>divided equally</w:t>
      </w:r>
      <w:r>
        <w:rPr>
          <w:rFonts w:eastAsia="Times New Roman"/>
          <w:sz w:val="24"/>
          <w:szCs w:val="24"/>
        </w:rPr>
        <w:t xml:space="preserve">” </w:t>
      </w:r>
    </w:p>
    <w:p w:rsidR="00E930EE" w:rsidRDefault="00E930EE" w:rsidP="00E930EE">
      <w:pPr>
        <w:pStyle w:val="ListParagraph"/>
        <w:numPr>
          <w:ilvl w:val="0"/>
          <w:numId w:val="13"/>
        </w:numPr>
        <w:rPr>
          <w:rFonts w:eastAsia="Times New Roman"/>
          <w:sz w:val="24"/>
          <w:szCs w:val="24"/>
        </w:rPr>
      </w:pPr>
      <w:r>
        <w:rPr>
          <w:rFonts w:eastAsia="Times New Roman"/>
          <w:sz w:val="24"/>
          <w:szCs w:val="24"/>
        </w:rPr>
        <w:t>What part of a beneficiary challenging actions and/or inaction by the fiduciary, challenges the intentions of the Settlors?</w:t>
      </w:r>
    </w:p>
    <w:p w:rsidR="00E930EE" w:rsidRDefault="00E930EE" w:rsidP="00E930EE">
      <w:pPr>
        <w:pStyle w:val="ListParagraph"/>
        <w:numPr>
          <w:ilvl w:val="0"/>
          <w:numId w:val="13"/>
        </w:numPr>
        <w:rPr>
          <w:rFonts w:eastAsia="Times New Roman"/>
          <w:sz w:val="24"/>
          <w:szCs w:val="24"/>
        </w:rPr>
      </w:pPr>
      <w:r>
        <w:rPr>
          <w:rFonts w:eastAsia="Times New Roman"/>
          <w:sz w:val="24"/>
          <w:szCs w:val="24"/>
        </w:rPr>
        <w:t>What part of a beneficiary seeking clarification on the validity and meaning of instruments challenges the intentions of the Settlors?</w:t>
      </w:r>
    </w:p>
    <w:p w:rsidR="00E930EE" w:rsidRDefault="00E930EE"/>
    <w:p w:rsidR="008E0DF6" w:rsidRDefault="008E0DF6"/>
    <w:p w:rsidR="00D653E0" w:rsidRDefault="008E0DF6">
      <w:r>
        <w:t xml:space="preserve"> </w:t>
      </w:r>
    </w:p>
    <w:sectPr w:rsidR="00D6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BA6"/>
    <w:multiLevelType w:val="hybridMultilevel"/>
    <w:tmpl w:val="B20879C6"/>
    <w:lvl w:ilvl="0" w:tplc="0FAED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1563A"/>
    <w:multiLevelType w:val="hybridMultilevel"/>
    <w:tmpl w:val="4D369FB0"/>
    <w:lvl w:ilvl="0" w:tplc="0FAED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F5706"/>
    <w:multiLevelType w:val="hybridMultilevel"/>
    <w:tmpl w:val="D92C05F2"/>
    <w:lvl w:ilvl="0" w:tplc="593E260C">
      <w:start w:val="1"/>
      <w:numFmt w:val="decimal"/>
      <w:lvlText w:val="%1."/>
      <w:lvlJc w:val="left"/>
      <w:pPr>
        <w:ind w:left="360" w:hanging="360"/>
      </w:pPr>
      <w:rPr>
        <w:rFonts w:hint="default"/>
      </w:rPr>
    </w:lvl>
    <w:lvl w:ilvl="1" w:tplc="8192510E">
      <w:start w:val="1"/>
      <w:numFmt w:val="lowerLetter"/>
      <w:lvlText w:val="%2."/>
      <w:lvlJc w:val="left"/>
      <w:pPr>
        <w:ind w:left="1440" w:hanging="360"/>
      </w:pPr>
    </w:lvl>
    <w:lvl w:ilvl="2" w:tplc="251AB490">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A61F1"/>
    <w:multiLevelType w:val="hybridMultilevel"/>
    <w:tmpl w:val="5FAA823E"/>
    <w:lvl w:ilvl="0" w:tplc="0FAED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53560"/>
    <w:multiLevelType w:val="hybridMultilevel"/>
    <w:tmpl w:val="D53CFAB6"/>
    <w:lvl w:ilvl="0" w:tplc="0FAED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07FC2"/>
    <w:multiLevelType w:val="hybridMultilevel"/>
    <w:tmpl w:val="D5EC7122"/>
    <w:lvl w:ilvl="0" w:tplc="0FAED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65D82"/>
    <w:multiLevelType w:val="hybridMultilevel"/>
    <w:tmpl w:val="4EC2DD52"/>
    <w:lvl w:ilvl="0" w:tplc="39F02D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358E0"/>
    <w:multiLevelType w:val="hybridMultilevel"/>
    <w:tmpl w:val="BEF2C7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70B96"/>
    <w:multiLevelType w:val="hybridMultilevel"/>
    <w:tmpl w:val="19C87C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8"/>
  </w:num>
  <w:num w:numId="12">
    <w:abstractNumId w:val="7"/>
  </w:num>
  <w:num w:numId="13">
    <w:abstractNumId w:val="1"/>
  </w:num>
  <w:num w:numId="14">
    <w:abstractNumId w:val="3"/>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F6"/>
    <w:rsid w:val="000F738F"/>
    <w:rsid w:val="001D0B0A"/>
    <w:rsid w:val="001D6254"/>
    <w:rsid w:val="00237452"/>
    <w:rsid w:val="00344961"/>
    <w:rsid w:val="00397921"/>
    <w:rsid w:val="003F4B40"/>
    <w:rsid w:val="004452B3"/>
    <w:rsid w:val="004D15E9"/>
    <w:rsid w:val="005157AC"/>
    <w:rsid w:val="00664E92"/>
    <w:rsid w:val="00721920"/>
    <w:rsid w:val="00841A36"/>
    <w:rsid w:val="008E0DF6"/>
    <w:rsid w:val="00950776"/>
    <w:rsid w:val="009521D0"/>
    <w:rsid w:val="00961533"/>
    <w:rsid w:val="00A17B47"/>
    <w:rsid w:val="00A237F9"/>
    <w:rsid w:val="00A32108"/>
    <w:rsid w:val="00AB0B1E"/>
    <w:rsid w:val="00AC0531"/>
    <w:rsid w:val="00B445EE"/>
    <w:rsid w:val="00B64FE7"/>
    <w:rsid w:val="00C221A0"/>
    <w:rsid w:val="00C67045"/>
    <w:rsid w:val="00D653E0"/>
    <w:rsid w:val="00E9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52"/>
    <w:rPr>
      <w:rFonts w:ascii="Times New Roman" w:hAnsi="Times New Roman" w:cs="Times New Roman"/>
      <w:sz w:val="28"/>
      <w:szCs w:val="28"/>
    </w:rPr>
  </w:style>
  <w:style w:type="paragraph" w:styleId="Heading1">
    <w:name w:val="heading 1"/>
    <w:basedOn w:val="Normal"/>
    <w:next w:val="Normal"/>
    <w:link w:val="Heading1Char"/>
    <w:autoRedefine/>
    <w:uiPriority w:val="9"/>
    <w:qFormat/>
    <w:rsid w:val="00E930EE"/>
    <w:pPr>
      <w:keepNext/>
      <w:keepLines/>
      <w:spacing w:before="240"/>
      <w:ind w:left="360" w:hanging="360"/>
      <w:jc w:val="center"/>
      <w:outlineLvl w:val="0"/>
    </w:pPr>
    <w:rPr>
      <w:rFonts w:eastAsiaTheme="majorEastAsia"/>
      <w:sz w:val="32"/>
      <w:szCs w:val="32"/>
    </w:rPr>
  </w:style>
  <w:style w:type="paragraph" w:styleId="Heading2">
    <w:name w:val="heading 2"/>
    <w:basedOn w:val="Normal"/>
    <w:next w:val="Normal"/>
    <w:link w:val="Heading2Char"/>
    <w:autoRedefine/>
    <w:uiPriority w:val="9"/>
    <w:unhideWhenUsed/>
    <w:qFormat/>
    <w:rsid w:val="009521D0"/>
    <w:pPr>
      <w:ind w:left="360" w:hanging="360"/>
      <w:contextualSpacing/>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841A36"/>
    <w:pPr>
      <w:ind w:left="720" w:right="720"/>
    </w:pPr>
    <w:rPr>
      <w:i/>
      <w:iCs/>
    </w:rPr>
  </w:style>
  <w:style w:type="character" w:customStyle="1" w:styleId="QuoteChar">
    <w:name w:val="Quote Char"/>
    <w:basedOn w:val="DefaultParagraphFont"/>
    <w:link w:val="Quote"/>
    <w:uiPriority w:val="29"/>
    <w:rsid w:val="00841A36"/>
    <w:rPr>
      <w:rFonts w:ascii="Times New Roman" w:hAnsi="Times New Roman" w:cs="Times New Roman"/>
      <w:i/>
      <w:iCs/>
      <w:sz w:val="28"/>
      <w:szCs w:val="28"/>
    </w:rPr>
  </w:style>
  <w:style w:type="character" w:customStyle="1" w:styleId="Heading1Char">
    <w:name w:val="Heading 1 Char"/>
    <w:basedOn w:val="DefaultParagraphFont"/>
    <w:link w:val="Heading1"/>
    <w:uiPriority w:val="9"/>
    <w:rsid w:val="00E930EE"/>
    <w:rPr>
      <w:rFonts w:ascii="Times New Roman" w:eastAsiaTheme="majorEastAsia" w:hAnsi="Times New Roman" w:cs="Times New Roman"/>
      <w:sz w:val="32"/>
      <w:szCs w:val="32"/>
    </w:rPr>
  </w:style>
  <w:style w:type="character" w:customStyle="1" w:styleId="Heading2Char">
    <w:name w:val="Heading 2 Char"/>
    <w:basedOn w:val="DefaultParagraphFont"/>
    <w:link w:val="Heading2"/>
    <w:uiPriority w:val="9"/>
    <w:rsid w:val="009521D0"/>
    <w:rPr>
      <w:rFonts w:ascii="Times New Roman" w:hAnsi="Times New Roman" w:cs="Times New Roman"/>
      <w:b/>
      <w:sz w:val="28"/>
      <w:szCs w:val="28"/>
    </w:rPr>
  </w:style>
  <w:style w:type="paragraph" w:customStyle="1" w:styleId="NumPara1">
    <w:name w:val="Num Para 1"/>
    <w:basedOn w:val="ListParagraph"/>
    <w:link w:val="NumPara1Char"/>
    <w:autoRedefine/>
    <w:qFormat/>
    <w:rsid w:val="001D0B0A"/>
    <w:pPr>
      <w:ind w:hanging="360"/>
    </w:pPr>
  </w:style>
  <w:style w:type="character" w:customStyle="1" w:styleId="NumPara1Char">
    <w:name w:val="Num Para 1 Char"/>
    <w:basedOn w:val="DefaultParagraphFont"/>
    <w:link w:val="NumPara1"/>
    <w:rsid w:val="001D0B0A"/>
    <w:rPr>
      <w:rFonts w:ascii="Times New Roman" w:hAnsi="Times New Roman"/>
      <w:sz w:val="28"/>
    </w:rPr>
  </w:style>
  <w:style w:type="paragraph" w:styleId="ListParagraph">
    <w:name w:val="List Paragraph"/>
    <w:basedOn w:val="Normal"/>
    <w:uiPriority w:val="34"/>
    <w:qFormat/>
    <w:rsid w:val="001D0B0A"/>
    <w:pPr>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semiHidden/>
    <w:unhideWhenUsed/>
    <w:qFormat/>
    <w:rsid w:val="001D0B0A"/>
    <w:pPr>
      <w:spacing w:before="480" w:after="0" w:line="480" w:lineRule="auto"/>
      <w:ind w:left="0" w:firstLine="0"/>
      <w:jc w:val="both"/>
      <w:outlineLvl w:val="9"/>
    </w:pPr>
    <w:rPr>
      <w:rFonts w:asciiTheme="majorHAnsi"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C67045"/>
    <w:pPr>
      <w:spacing w:before="360" w:after="0"/>
      <w:jc w:val="left"/>
    </w:pPr>
    <w:rPr>
      <w:b/>
      <w:bCs/>
      <w:caps/>
      <w:szCs w:val="24"/>
    </w:rPr>
  </w:style>
  <w:style w:type="paragraph" w:styleId="IntenseQuote">
    <w:name w:val="Intense Quote"/>
    <w:basedOn w:val="Normal"/>
    <w:next w:val="Normal"/>
    <w:link w:val="IntenseQuoteChar"/>
    <w:uiPriority w:val="30"/>
    <w:qFormat/>
    <w:rsid w:val="009521D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521D0"/>
    <w:rPr>
      <w:rFonts w:ascii="Times New Roman" w:hAnsi="Times New Roman" w:cs="Times New Roman"/>
      <w:b/>
      <w:bCs/>
      <w:i/>
      <w:iCs/>
      <w:color w:val="5B9BD5" w:themeColor="accent1"/>
      <w:sz w:val="28"/>
      <w:szCs w:val="28"/>
    </w:rPr>
  </w:style>
  <w:style w:type="character" w:styleId="Hyperlink">
    <w:name w:val="Hyperlink"/>
    <w:basedOn w:val="DefaultParagraphFont"/>
    <w:uiPriority w:val="99"/>
    <w:semiHidden/>
    <w:unhideWhenUsed/>
    <w:rsid w:val="009521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52"/>
    <w:rPr>
      <w:rFonts w:ascii="Times New Roman" w:hAnsi="Times New Roman" w:cs="Times New Roman"/>
      <w:sz w:val="28"/>
      <w:szCs w:val="28"/>
    </w:rPr>
  </w:style>
  <w:style w:type="paragraph" w:styleId="Heading1">
    <w:name w:val="heading 1"/>
    <w:basedOn w:val="Normal"/>
    <w:next w:val="Normal"/>
    <w:link w:val="Heading1Char"/>
    <w:autoRedefine/>
    <w:uiPriority w:val="9"/>
    <w:qFormat/>
    <w:rsid w:val="00E930EE"/>
    <w:pPr>
      <w:keepNext/>
      <w:keepLines/>
      <w:spacing w:before="240"/>
      <w:ind w:left="360" w:hanging="360"/>
      <w:jc w:val="center"/>
      <w:outlineLvl w:val="0"/>
    </w:pPr>
    <w:rPr>
      <w:rFonts w:eastAsiaTheme="majorEastAsia"/>
      <w:sz w:val="32"/>
      <w:szCs w:val="32"/>
    </w:rPr>
  </w:style>
  <w:style w:type="paragraph" w:styleId="Heading2">
    <w:name w:val="heading 2"/>
    <w:basedOn w:val="Normal"/>
    <w:next w:val="Normal"/>
    <w:link w:val="Heading2Char"/>
    <w:autoRedefine/>
    <w:uiPriority w:val="9"/>
    <w:unhideWhenUsed/>
    <w:qFormat/>
    <w:rsid w:val="009521D0"/>
    <w:pPr>
      <w:ind w:left="360" w:hanging="360"/>
      <w:contextualSpacing/>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841A36"/>
    <w:pPr>
      <w:ind w:left="720" w:right="720"/>
    </w:pPr>
    <w:rPr>
      <w:i/>
      <w:iCs/>
    </w:rPr>
  </w:style>
  <w:style w:type="character" w:customStyle="1" w:styleId="QuoteChar">
    <w:name w:val="Quote Char"/>
    <w:basedOn w:val="DefaultParagraphFont"/>
    <w:link w:val="Quote"/>
    <w:uiPriority w:val="29"/>
    <w:rsid w:val="00841A36"/>
    <w:rPr>
      <w:rFonts w:ascii="Times New Roman" w:hAnsi="Times New Roman" w:cs="Times New Roman"/>
      <w:i/>
      <w:iCs/>
      <w:sz w:val="28"/>
      <w:szCs w:val="28"/>
    </w:rPr>
  </w:style>
  <w:style w:type="character" w:customStyle="1" w:styleId="Heading1Char">
    <w:name w:val="Heading 1 Char"/>
    <w:basedOn w:val="DefaultParagraphFont"/>
    <w:link w:val="Heading1"/>
    <w:uiPriority w:val="9"/>
    <w:rsid w:val="00E930EE"/>
    <w:rPr>
      <w:rFonts w:ascii="Times New Roman" w:eastAsiaTheme="majorEastAsia" w:hAnsi="Times New Roman" w:cs="Times New Roman"/>
      <w:sz w:val="32"/>
      <w:szCs w:val="32"/>
    </w:rPr>
  </w:style>
  <w:style w:type="character" w:customStyle="1" w:styleId="Heading2Char">
    <w:name w:val="Heading 2 Char"/>
    <w:basedOn w:val="DefaultParagraphFont"/>
    <w:link w:val="Heading2"/>
    <w:uiPriority w:val="9"/>
    <w:rsid w:val="009521D0"/>
    <w:rPr>
      <w:rFonts w:ascii="Times New Roman" w:hAnsi="Times New Roman" w:cs="Times New Roman"/>
      <w:b/>
      <w:sz w:val="28"/>
      <w:szCs w:val="28"/>
    </w:rPr>
  </w:style>
  <w:style w:type="paragraph" w:customStyle="1" w:styleId="NumPara1">
    <w:name w:val="Num Para 1"/>
    <w:basedOn w:val="ListParagraph"/>
    <w:link w:val="NumPara1Char"/>
    <w:autoRedefine/>
    <w:qFormat/>
    <w:rsid w:val="001D0B0A"/>
    <w:pPr>
      <w:ind w:hanging="360"/>
    </w:pPr>
  </w:style>
  <w:style w:type="character" w:customStyle="1" w:styleId="NumPara1Char">
    <w:name w:val="Num Para 1 Char"/>
    <w:basedOn w:val="DefaultParagraphFont"/>
    <w:link w:val="NumPara1"/>
    <w:rsid w:val="001D0B0A"/>
    <w:rPr>
      <w:rFonts w:ascii="Times New Roman" w:hAnsi="Times New Roman"/>
      <w:sz w:val="28"/>
    </w:rPr>
  </w:style>
  <w:style w:type="paragraph" w:styleId="ListParagraph">
    <w:name w:val="List Paragraph"/>
    <w:basedOn w:val="Normal"/>
    <w:uiPriority w:val="34"/>
    <w:qFormat/>
    <w:rsid w:val="001D0B0A"/>
    <w:pPr>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semiHidden/>
    <w:unhideWhenUsed/>
    <w:qFormat/>
    <w:rsid w:val="001D0B0A"/>
    <w:pPr>
      <w:spacing w:before="480" w:after="0" w:line="480" w:lineRule="auto"/>
      <w:ind w:left="0" w:firstLine="0"/>
      <w:jc w:val="both"/>
      <w:outlineLvl w:val="9"/>
    </w:pPr>
    <w:rPr>
      <w:rFonts w:asciiTheme="majorHAnsi"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C67045"/>
    <w:pPr>
      <w:spacing w:before="360" w:after="0"/>
      <w:jc w:val="left"/>
    </w:pPr>
    <w:rPr>
      <w:b/>
      <w:bCs/>
      <w:caps/>
      <w:szCs w:val="24"/>
    </w:rPr>
  </w:style>
  <w:style w:type="paragraph" w:styleId="IntenseQuote">
    <w:name w:val="Intense Quote"/>
    <w:basedOn w:val="Normal"/>
    <w:next w:val="Normal"/>
    <w:link w:val="IntenseQuoteChar"/>
    <w:uiPriority w:val="30"/>
    <w:qFormat/>
    <w:rsid w:val="009521D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521D0"/>
    <w:rPr>
      <w:rFonts w:ascii="Times New Roman" w:hAnsi="Times New Roman" w:cs="Times New Roman"/>
      <w:b/>
      <w:bCs/>
      <w:i/>
      <w:iCs/>
      <w:color w:val="5B9BD5" w:themeColor="accent1"/>
      <w:sz w:val="28"/>
      <w:szCs w:val="28"/>
    </w:rPr>
  </w:style>
  <w:style w:type="character" w:styleId="Hyperlink">
    <w:name w:val="Hyperlink"/>
    <w:basedOn w:val="DefaultParagraphFont"/>
    <w:uiPriority w:val="99"/>
    <w:semiHidden/>
    <w:unhideWhenUsed/>
    <w:rsid w:val="00952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hoover-slovacek-llp-v-walton-1" TargetMode="External"/><Relationship Id="rId3" Type="http://schemas.microsoft.com/office/2007/relationships/stylesWithEffects" Target="stylesWithEffects.xml"/><Relationship Id="rId7" Type="http://schemas.openxmlformats.org/officeDocument/2006/relationships/hyperlink" Target="https://casetext.com/case/walker-v-pa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text.com/case/mci-telecommunications-v-crowl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etext.com/case/stewart-title-guar-co-v-ster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2692</TotalTime>
  <Pages>1</Pages>
  <Words>1814</Words>
  <Characters>9366</Characters>
  <Application>Microsoft Office Word</Application>
  <DocSecurity>0</DocSecurity>
  <Lines>187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Rik</cp:lastModifiedBy>
  <cp:revision>2</cp:revision>
  <dcterms:created xsi:type="dcterms:W3CDTF">2019-11-27T14:10:00Z</dcterms:created>
  <dcterms:modified xsi:type="dcterms:W3CDTF">2019-12-06T16:55:00Z</dcterms:modified>
</cp:coreProperties>
</file>