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0" w:rsidRPr="00990FD5" w:rsidRDefault="00DE7910" w:rsidP="00DE7910">
      <w:pPr>
        <w:pStyle w:val="NoSpacing"/>
      </w:pPr>
      <w:r w:rsidRPr="00990FD5">
        <w:rPr>
          <w:i/>
          <w:iCs/>
        </w:rPr>
        <w:t>Lawton v. Lawton</w:t>
      </w:r>
      <w:r w:rsidRPr="00990FD5">
        <w:t>, No. 01-12-00932-CV, at *4-5 (Tex. App. Mar. 6, 2014)</w:t>
      </w:r>
    </w:p>
    <w:p w:rsidR="00DE7910" w:rsidRDefault="00DE7910" w:rsidP="00DE7910">
      <w:pPr>
        <w:pStyle w:val="NoSpacing"/>
      </w:pPr>
      <w:hyperlink r:id="rId6" w:history="1">
        <w:r>
          <w:rPr>
            <w:rStyle w:val="Hyperlink"/>
          </w:rPr>
          <w:t>Lawton v. Lawton</w:t>
        </w:r>
      </w:hyperlink>
    </w:p>
    <w:p w:rsidR="00DE7910" w:rsidRPr="00DE7910" w:rsidRDefault="00DE7910" w:rsidP="00DE7910">
      <w:pPr>
        <w:pStyle w:val="NoSpacing"/>
        <w:rPr>
          <w:sz w:val="24"/>
          <w:szCs w:val="24"/>
        </w:rPr>
      </w:pPr>
      <w:r>
        <w:rPr>
          <w:rStyle w:val="ct-search-result-citation"/>
        </w:rPr>
        <w:t>NO. 01-12-00932-CV (Tex. App. Jul. 10, 2014)</w:t>
      </w:r>
      <w:r>
        <w:rPr>
          <w:rStyle w:val="ct-search-result-citation"/>
          <w:rFonts w:eastAsiaTheme="minorEastAsia"/>
        </w:rPr>
        <w:t xml:space="preserve"> </w:t>
      </w:r>
      <w:r>
        <w:rPr>
          <w:rStyle w:val="ct-search-result-cite-count"/>
        </w:rPr>
        <w:t>Cited 2 times</w:t>
      </w:r>
    </w:p>
    <w:p w:rsidR="00990FD5" w:rsidRPr="00990FD5" w:rsidRDefault="00990FD5" w:rsidP="00F10483">
      <w:pPr>
        <w:pStyle w:val="Quote"/>
        <w:numPr>
          <w:ilvl w:val="0"/>
          <w:numId w:val="44"/>
        </w:numPr>
        <w:rPr>
          <w:b/>
        </w:rPr>
      </w:pPr>
      <w:r w:rsidRPr="00990FD5">
        <w:rPr>
          <w:b/>
        </w:rPr>
        <w:t xml:space="preserve">Jurisdiction </w:t>
      </w:r>
      <w:r w:rsidRPr="00990FD5">
        <w:t>(emphasis mine)</w:t>
      </w:r>
    </w:p>
    <w:p w:rsidR="00990FD5" w:rsidRPr="00990FD5" w:rsidRDefault="00990FD5" w:rsidP="00F10483">
      <w:pPr>
        <w:pStyle w:val="Quote"/>
      </w:pPr>
      <w:r w:rsidRPr="00990FD5">
        <w:t xml:space="preserve">Whether a trial court has subject matter jurisdiction is a question of law that we review de novo. See Tex. Natural Res. Conservation </w:t>
      </w:r>
      <w:proofErr w:type="spellStart"/>
      <w:r w:rsidRPr="00990FD5">
        <w:t>Comm'n</w:t>
      </w:r>
      <w:proofErr w:type="spellEnd"/>
      <w:r w:rsidRPr="00990FD5">
        <w:t xml:space="preserve"> v. IT-Davy, </w:t>
      </w:r>
      <w:hyperlink r:id="rId7" w:anchor="p855" w:history="1">
        <w:proofErr w:type="gramStart"/>
        <w:r w:rsidRPr="00990FD5">
          <w:rPr>
            <w:color w:val="0000FF"/>
            <w:u w:val="single"/>
          </w:rPr>
          <w:t>74 S.W.3d 849, 855</w:t>
        </w:r>
        <w:proofErr w:type="gramEnd"/>
      </w:hyperlink>
      <w:r w:rsidRPr="00990FD5">
        <w:t xml:space="preserve"> (Tex. 2002). Although courts generally do not lose subject matter jurisdiction once it attaches, a probate court is a specialized court that can lose jurisdiction over matters incident to an estate if it loses jurisdiction over the probate matters. See Goodman v. Summit </w:t>
      </w:r>
      <w:proofErr w:type="gramStart"/>
      <w:r w:rsidRPr="00990FD5">
        <w:t xml:space="preserve">at West Rim, Ltd., </w:t>
      </w:r>
      <w:hyperlink r:id="rId8" w:anchor="p933" w:history="1">
        <w:r w:rsidRPr="00990FD5">
          <w:rPr>
            <w:color w:val="0000FF"/>
            <w:u w:val="single"/>
          </w:rPr>
          <w:t>952 S.W.2d 930, 933</w:t>
        </w:r>
        <w:proofErr w:type="gramEnd"/>
      </w:hyperlink>
      <w:r w:rsidRPr="00990FD5">
        <w:t xml:space="preserve"> (Tex. App.—Austin 1997, no pet.). </w:t>
      </w:r>
      <w:r w:rsidRPr="00990FD5">
        <w:rPr>
          <w:b/>
          <w:u w:val="single"/>
        </w:rPr>
        <w:t>In other words, once an estate closes, incident claims are pendent or ancillary to nothing, and the probate court loses jurisdiction</w:t>
      </w:r>
      <w:r w:rsidRPr="00990FD5">
        <w:t xml:space="preserve">. Id.; see also </w:t>
      </w:r>
      <w:proofErr w:type="spellStart"/>
      <w:r w:rsidRPr="00990FD5">
        <w:t>Schuld</w:t>
      </w:r>
      <w:proofErr w:type="spellEnd"/>
      <w:r w:rsidRPr="00990FD5">
        <w:t xml:space="preserve"> v. </w:t>
      </w:r>
      <w:proofErr w:type="spellStart"/>
      <w:r w:rsidRPr="00990FD5">
        <w:t>Dembrinski</w:t>
      </w:r>
      <w:proofErr w:type="spellEnd"/>
      <w:r w:rsidRPr="00990FD5">
        <w:t xml:space="preserve">, </w:t>
      </w:r>
      <w:hyperlink r:id="rId9" w:anchor="p487" w:history="1">
        <w:r w:rsidRPr="00990FD5">
          <w:rPr>
            <w:color w:val="0000FF"/>
            <w:u w:val="single"/>
          </w:rPr>
          <w:t>12 S.W.3d 485, 487</w:t>
        </w:r>
      </w:hyperlink>
      <w:r w:rsidRPr="00990FD5">
        <w:t xml:space="preserve"> (Tex. App.—Dallas 2000, no pet.) ("The pendency of a probate proceeding is a requisite for a court's exercise of jurisdiction over matters related to </w:t>
      </w:r>
      <w:proofErr w:type="gramStart"/>
      <w:r w:rsidRPr="00990FD5">
        <w:t>it</w:t>
      </w:r>
      <w:proofErr w:type="gramEnd"/>
      <w:r w:rsidRPr="00990FD5">
        <w:t xml:space="preserve">."); Garza v. Rodriguez, </w:t>
      </w:r>
      <w:hyperlink r:id="rId10" w:anchor="p698" w:history="1">
        <w:r w:rsidRPr="00990FD5">
          <w:rPr>
            <w:color w:val="0000FF"/>
            <w:u w:val="single"/>
          </w:rPr>
          <w:t>18 S.W.3d 694, 698</w:t>
        </w:r>
      </w:hyperlink>
      <w:r w:rsidRPr="00990FD5">
        <w:t xml:space="preserve"> (Tex. App.—San Antonio 2000, no pet.) ("Before a matter can be regarded as incident to an estate . . . a probate proceeding must actually be pending."). </w:t>
      </w:r>
    </w:p>
    <w:p w:rsidR="007067FC" w:rsidRPr="007067FC" w:rsidRDefault="007067FC" w:rsidP="007067FC">
      <w:pPr>
        <w:spacing w:before="100" w:beforeAutospacing="1" w:after="100" w:afterAutospacing="1" w:line="240" w:lineRule="auto"/>
        <w:ind w:firstLine="0"/>
        <w:outlineLvl w:val="3"/>
        <w:rPr>
          <w:b/>
          <w:bCs/>
        </w:rPr>
      </w:pPr>
      <w:hyperlink r:id="rId11" w:history="1">
        <w:r w:rsidRPr="007067FC">
          <w:rPr>
            <w:b/>
            <w:bCs/>
            <w:color w:val="0000FF"/>
            <w:u w:val="single"/>
          </w:rPr>
          <w:t>Narvaez v. Powell</w:t>
        </w:r>
      </w:hyperlink>
    </w:p>
    <w:p w:rsidR="007067FC" w:rsidRPr="007067FC" w:rsidRDefault="007067FC" w:rsidP="007067FC">
      <w:pPr>
        <w:spacing w:before="0" w:after="0" w:line="240" w:lineRule="auto"/>
        <w:ind w:firstLine="0"/>
      </w:pPr>
      <w:r w:rsidRPr="007067FC">
        <w:t>564 S.W.3d 49 (Tex. App. 2018</w:t>
      </w:r>
      <w:proofErr w:type="gramStart"/>
      <w:r w:rsidRPr="007067FC">
        <w:t>)Cited</w:t>
      </w:r>
      <w:proofErr w:type="gramEnd"/>
      <w:r w:rsidRPr="007067FC">
        <w:t xml:space="preserve"> 10 times</w:t>
      </w:r>
    </w:p>
    <w:p w:rsidR="007067FC" w:rsidRPr="007067FC" w:rsidRDefault="007067FC" w:rsidP="007067FC">
      <w:pPr>
        <w:spacing w:before="0" w:after="0" w:line="240" w:lineRule="auto"/>
        <w:ind w:firstLine="0"/>
      </w:pPr>
      <w:r w:rsidRPr="007067FC">
        <w:t>Judge's Summary — Stating "</w:t>
      </w:r>
      <w:r w:rsidRPr="007067FC">
        <w:rPr>
          <w:i/>
          <w:iCs/>
        </w:rPr>
        <w:t>probate courts</w:t>
      </w:r>
      <w:r w:rsidRPr="007067FC">
        <w:t xml:space="preserve"> exercise their ancillary or pendent </w:t>
      </w:r>
      <w:r w:rsidRPr="007067FC">
        <w:rPr>
          <w:i/>
          <w:iCs/>
        </w:rPr>
        <w:t>jurisdiction</w:t>
      </w:r>
      <w:r w:rsidRPr="007067FC">
        <w:t xml:space="preserve"> over non-</w:t>
      </w:r>
      <w:r w:rsidRPr="007067FC">
        <w:rPr>
          <w:i/>
          <w:iCs/>
        </w:rPr>
        <w:t>probate</w:t>
      </w:r>
      <w:r w:rsidRPr="007067FC">
        <w:t xml:space="preserve"> matters only when doing so will aid in the efficient administration of an estate pending in the </w:t>
      </w:r>
      <w:r w:rsidRPr="007067FC">
        <w:rPr>
          <w:i/>
          <w:iCs/>
        </w:rPr>
        <w:t>probate court</w:t>
      </w:r>
      <w:r w:rsidRPr="007067FC">
        <w:t>"</w:t>
      </w:r>
    </w:p>
    <w:p w:rsidR="007067FC" w:rsidRPr="007067FC" w:rsidRDefault="007067FC" w:rsidP="007067FC">
      <w:pPr>
        <w:spacing w:before="0" w:after="0" w:line="240" w:lineRule="auto"/>
        <w:ind w:firstLine="0"/>
      </w:pPr>
      <w:r w:rsidRPr="007067FC">
        <w:t>1 of 10</w:t>
      </w:r>
    </w:p>
    <w:p w:rsidR="007067FC" w:rsidRPr="007067FC" w:rsidRDefault="007067FC" w:rsidP="007067FC">
      <w:pPr>
        <w:spacing w:before="0" w:after="0" w:line="240" w:lineRule="auto"/>
        <w:ind w:firstLine="0"/>
      </w:pPr>
      <w:r w:rsidRPr="007067FC">
        <w:t>Page 58</w:t>
      </w:r>
    </w:p>
    <w:p w:rsidR="007067FC" w:rsidRPr="00F10483" w:rsidRDefault="007067FC" w:rsidP="00F10483">
      <w:pPr>
        <w:pStyle w:val="Quote"/>
      </w:pPr>
      <w:r w:rsidRPr="00F10483">
        <w:t xml:space="preserve">A probate court may exercise pendent and ancillary jurisdiction as necessary to promote judicial efficiency and economy. </w:t>
      </w:r>
      <w:proofErr w:type="gramStart"/>
      <w:r w:rsidRPr="00F10483">
        <w:t>TEX.ESTATES CODE ANN. § 32.001(b).</w:t>
      </w:r>
      <w:proofErr w:type="gramEnd"/>
      <w:r w:rsidRPr="00F10483">
        <w:t xml:space="preserve"> In order for a probate court to assert jurisdiction over matters incident to an estate, a probate proceeding must be pending in the court. See Frost National </w:t>
      </w:r>
      <w:proofErr w:type="gramStart"/>
      <w:r w:rsidRPr="00F10483">
        <w:t>Bank ,</w:t>
      </w:r>
      <w:proofErr w:type="gramEnd"/>
      <w:r w:rsidRPr="00F10483">
        <w:t xml:space="preserve"> 315 S.W.3d at 506. That requisite is satisfied here. Typically, probate courts exercise ancillary or pendent jurisdiction when a close relationship exists between the non-probate claims and the claims against the estate. See Shell Cortez Pipeline Co. v. </w:t>
      </w:r>
      <w:proofErr w:type="gramStart"/>
      <w:r w:rsidRPr="00F10483">
        <w:t>Shores ,</w:t>
      </w:r>
      <w:proofErr w:type="gramEnd"/>
      <w:r w:rsidRPr="00F10483">
        <w:t xml:space="preserve"> 127 S.W.3d 286, 294 (</w:t>
      </w:r>
      <w:proofErr w:type="spellStart"/>
      <w:r w:rsidRPr="00F10483">
        <w:t>Tex.App</w:t>
      </w:r>
      <w:proofErr w:type="spellEnd"/>
      <w:r w:rsidRPr="00F10483">
        <w:t xml:space="preserve">.—Fort Worth 2004, no pet.), citing Sabine Gas Trans. Co. </w:t>
      </w:r>
      <w:proofErr w:type="spellStart"/>
      <w:r w:rsidRPr="00F10483">
        <w:t>v.Winnie</w:t>
      </w:r>
      <w:proofErr w:type="spellEnd"/>
      <w:r w:rsidRPr="00F10483">
        <w:t xml:space="preserve"> </w:t>
      </w:r>
      <w:r w:rsidRPr="00F10483">
        <w:lastRenderedPageBreak/>
        <w:t>Pipeline Co. , 15 S.W.3d 199, 202 (</w:t>
      </w:r>
      <w:proofErr w:type="spellStart"/>
      <w:r w:rsidRPr="00F10483">
        <w:t>Tex.App</w:t>
      </w:r>
      <w:proofErr w:type="spellEnd"/>
      <w:r w:rsidRPr="00F10483">
        <w:t>.—Houston [14th Dist.] 2000, no pet.) ; Goodman v. Summit at W. Rim, Ltd. , 952 S.W.2d 930, 933 (</w:t>
      </w:r>
      <w:proofErr w:type="spellStart"/>
      <w:r w:rsidRPr="00F10483">
        <w:t>Tex.App</w:t>
      </w:r>
      <w:proofErr w:type="spellEnd"/>
      <w:r w:rsidRPr="00F10483">
        <w:t>.—Austin 1997, no pet.) (</w:t>
      </w:r>
      <w:proofErr w:type="gramStart"/>
      <w:r w:rsidRPr="00F10483">
        <w:t>holding</w:t>
      </w:r>
      <w:proofErr w:type="gramEnd"/>
      <w:r w:rsidRPr="00F10483">
        <w:t xml:space="preserve"> that probate court can exercise "ancillary" or "pendent" jurisdiction over a claim only if it bears some relationship to the estate). That is, probate courts exercise their ancillary or pendent jurisdiction over non-probate matters only when doing so will aid in the efficient administration of an estate pending in the probate court. Shell Cortez </w:t>
      </w:r>
      <w:proofErr w:type="gramStart"/>
      <w:r w:rsidRPr="00F10483">
        <w:t>Pipeline ,</w:t>
      </w:r>
      <w:proofErr w:type="gramEnd"/>
      <w:r w:rsidRPr="00F10483">
        <w:t xml:space="preserve"> 127 S.W.3d at 294-95.</w:t>
      </w:r>
    </w:p>
    <w:p w:rsidR="00990FD5" w:rsidRDefault="00990FD5" w:rsidP="00990FD5">
      <w:pPr>
        <w:ind w:firstLine="0"/>
      </w:pPr>
      <w:bookmarkStart w:id="0" w:name="_GoBack"/>
      <w:bookmarkEnd w:id="0"/>
    </w:p>
    <w:sectPr w:rsidR="00990FD5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3972"/>
    <w:multiLevelType w:val="hybridMultilevel"/>
    <w:tmpl w:val="5FEA2FE0"/>
    <w:lvl w:ilvl="0" w:tplc="1CC61A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7"/>
  </w:num>
  <w:num w:numId="18">
    <w:abstractNumId w:val="7"/>
  </w:num>
  <w:num w:numId="19">
    <w:abstractNumId w:val="7"/>
  </w:num>
  <w:num w:numId="20">
    <w:abstractNumId w:val="9"/>
  </w:num>
  <w:num w:numId="21">
    <w:abstractNumId w:val="7"/>
  </w:num>
  <w:num w:numId="22">
    <w:abstractNumId w:val="7"/>
  </w:num>
  <w:num w:numId="23">
    <w:abstractNumId w:val="7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9"/>
  </w:num>
  <w:num w:numId="29">
    <w:abstractNumId w:val="7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0"/>
  </w:num>
  <w:num w:numId="35">
    <w:abstractNumId w:val="0"/>
  </w:num>
  <w:num w:numId="36">
    <w:abstractNumId w:val="9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D5"/>
    <w:rsid w:val="00003545"/>
    <w:rsid w:val="0002109F"/>
    <w:rsid w:val="00091071"/>
    <w:rsid w:val="000D0E94"/>
    <w:rsid w:val="000F738F"/>
    <w:rsid w:val="00101456"/>
    <w:rsid w:val="00124D37"/>
    <w:rsid w:val="001A3F32"/>
    <w:rsid w:val="001D0B0A"/>
    <w:rsid w:val="001D6254"/>
    <w:rsid w:val="00207A97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37D5C"/>
    <w:rsid w:val="0055091F"/>
    <w:rsid w:val="005B4D26"/>
    <w:rsid w:val="005C53EF"/>
    <w:rsid w:val="005E0485"/>
    <w:rsid w:val="00632E36"/>
    <w:rsid w:val="00644CA5"/>
    <w:rsid w:val="00653D93"/>
    <w:rsid w:val="006A479E"/>
    <w:rsid w:val="006B3E57"/>
    <w:rsid w:val="007067FC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90FD5"/>
    <w:rsid w:val="009A3184"/>
    <w:rsid w:val="009A77A7"/>
    <w:rsid w:val="009D75C0"/>
    <w:rsid w:val="00A17B47"/>
    <w:rsid w:val="00A237F9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46133"/>
    <w:rsid w:val="00D653E0"/>
    <w:rsid w:val="00DE5A41"/>
    <w:rsid w:val="00DE7910"/>
    <w:rsid w:val="00E65E37"/>
    <w:rsid w:val="00EE557C"/>
    <w:rsid w:val="00F05B96"/>
    <w:rsid w:val="00F10483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10483"/>
    <w:pPr>
      <w:spacing w:before="120" w:after="240"/>
      <w:ind w:left="720" w:right="720"/>
      <w:contextualSpacing/>
      <w:jc w:val="both"/>
    </w:pPr>
    <w:rPr>
      <w:rFonts w:ascii="Times New Roman" w:hAnsi="Times New Roman" w:cs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F10483"/>
    <w:rPr>
      <w:rFonts w:ascii="Times New Roman" w:hAnsi="Times New Roman" w:cs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customStyle="1" w:styleId="ct-search-result-citation">
    <w:name w:val="ct-search-result-citation"/>
    <w:basedOn w:val="DefaultParagraphFont"/>
    <w:rsid w:val="00990FD5"/>
  </w:style>
  <w:style w:type="character" w:customStyle="1" w:styleId="ct-search-result-cite-count">
    <w:name w:val="ct-search-result-cite-count"/>
    <w:basedOn w:val="DefaultParagraphFont"/>
    <w:rsid w:val="00990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10483"/>
    <w:pPr>
      <w:spacing w:before="120" w:after="240"/>
      <w:ind w:left="720" w:right="720"/>
      <w:contextualSpacing/>
      <w:jc w:val="both"/>
    </w:pPr>
    <w:rPr>
      <w:rFonts w:ascii="Times New Roman" w:hAnsi="Times New Roman" w:cs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F10483"/>
    <w:rPr>
      <w:rFonts w:ascii="Times New Roman" w:hAnsi="Times New Roman" w:cs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customStyle="1" w:styleId="ct-search-result-citation">
    <w:name w:val="ct-search-result-citation"/>
    <w:basedOn w:val="DefaultParagraphFont"/>
    <w:rsid w:val="00990FD5"/>
  </w:style>
  <w:style w:type="character" w:customStyle="1" w:styleId="ct-search-result-cite-count">
    <w:name w:val="ct-search-result-cite-count"/>
    <w:basedOn w:val="DefaultParagraphFont"/>
    <w:rsid w:val="0099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text.com/case/goodman-v-summit-at-west-rim-lt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asetext.com/case/texas-natural-resources-conservation-v-it-dav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text.com/case/lawton-v-lawton-13?endDate=1735689599999&amp;jxs=5cir%2Ctx&amp;p=1&amp;q=probate+court+loses+jurisdiction&amp;sort=relevance&amp;startDate=1388534400000&amp;type=case&amp;ssr=false&amp;scrollTo=true" TargetMode="External"/><Relationship Id="rId11" Type="http://schemas.openxmlformats.org/officeDocument/2006/relationships/hyperlink" Target="https://casetext.com/case/narvaez-v-darron-powell-darron-powell-pllc?endDate=1735689599999&amp;jxs=5cir%2Ctx&amp;p=1&amp;q=probate+court+loses+jurisdiction+NOT+guardianship&amp;sort=relevance&amp;startDate=1388534400000&amp;type=case&amp;ssr=false&amp;scrollTo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setext.com/case/garza-v-rodriguez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etext.com/case/schuld-v-dembr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2024-10-29T01:18:00Z</dcterms:created>
  <dcterms:modified xsi:type="dcterms:W3CDTF">2024-12-03T18:17:00Z</dcterms:modified>
</cp:coreProperties>
</file>