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AF" w:rsidRPr="009567AF" w:rsidRDefault="009567AF" w:rsidP="009567AF">
      <w:pPr>
        <w:spacing w:before="100" w:beforeAutospacing="1" w:after="100" w:afterAutospacing="1" w:line="240" w:lineRule="auto"/>
        <w:ind w:firstLine="0"/>
        <w:outlineLvl w:val="3"/>
        <w:rPr>
          <w:b/>
          <w:bCs/>
        </w:rPr>
      </w:pPr>
      <w:r w:rsidRPr="009567AF">
        <w:rPr>
          <w:b/>
          <w:bCs/>
        </w:rPr>
        <w:fldChar w:fldCharType="begin"/>
      </w:r>
      <w:r w:rsidRPr="009567AF">
        <w:rPr>
          <w:b/>
          <w:bCs/>
        </w:rPr>
        <w:instrText xml:space="preserve"> HYPERLINK "https://casetext.com/case/us-v-neal-37?jxs=5cir&amp;p=1&amp;q=shell+company+AND+fraud+NOT+oil&amp;sort=relevance&amp;type=case&amp;ssr=false&amp;scrollTo=true" </w:instrText>
      </w:r>
      <w:r w:rsidRPr="009567AF">
        <w:rPr>
          <w:b/>
          <w:bCs/>
        </w:rPr>
        <w:fldChar w:fldCharType="separate"/>
      </w:r>
      <w:r w:rsidRPr="009567AF">
        <w:rPr>
          <w:b/>
          <w:bCs/>
          <w:color w:val="0000FF"/>
          <w:u w:val="single"/>
        </w:rPr>
        <w:t>U.S. v. Neal</w:t>
      </w:r>
      <w:r w:rsidRPr="009567AF">
        <w:rPr>
          <w:b/>
          <w:bCs/>
        </w:rPr>
        <w:fldChar w:fldCharType="end"/>
      </w:r>
    </w:p>
    <w:p w:rsidR="009567AF" w:rsidRPr="009567AF" w:rsidRDefault="009567AF" w:rsidP="009567AF">
      <w:pPr>
        <w:spacing w:before="0" w:after="0" w:line="240" w:lineRule="auto"/>
        <w:ind w:firstLine="0"/>
      </w:pPr>
      <w:r w:rsidRPr="009567AF">
        <w:t xml:space="preserve">294 F. </w:t>
      </w:r>
      <w:proofErr w:type="spellStart"/>
      <w:r w:rsidRPr="009567AF">
        <w:t>App'x</w:t>
      </w:r>
      <w:proofErr w:type="spellEnd"/>
      <w:r w:rsidRPr="009567AF">
        <w:t xml:space="preserve"> 96 (5th Cir. 2008</w:t>
      </w:r>
      <w:proofErr w:type="gramStart"/>
      <w:r w:rsidRPr="009567AF">
        <w:t>)Cited</w:t>
      </w:r>
      <w:proofErr w:type="gramEnd"/>
      <w:r w:rsidRPr="009567AF">
        <w:t xml:space="preserve"> 7 times</w:t>
      </w:r>
    </w:p>
    <w:p w:rsidR="009567AF" w:rsidRPr="009567AF" w:rsidRDefault="009567AF" w:rsidP="009567AF">
      <w:pPr>
        <w:spacing w:before="0" w:after="0" w:line="240" w:lineRule="auto"/>
        <w:ind w:firstLine="0"/>
      </w:pPr>
      <w:r w:rsidRPr="009567AF">
        <w:t>Judge's Summary — Affirming convictions and 327-month prison sentence</w:t>
      </w:r>
    </w:p>
    <w:p w:rsidR="009567AF" w:rsidRPr="009567AF" w:rsidRDefault="009567AF" w:rsidP="009567AF">
      <w:pPr>
        <w:spacing w:before="0" w:after="0" w:line="240" w:lineRule="auto"/>
        <w:ind w:firstLine="0"/>
      </w:pPr>
      <w:proofErr w:type="gramStart"/>
      <w:r w:rsidRPr="009567AF">
        <w:t>1</w:t>
      </w:r>
      <w:proofErr w:type="gramEnd"/>
      <w:r w:rsidRPr="009567AF">
        <w:t xml:space="preserve"> of 10</w:t>
      </w:r>
    </w:p>
    <w:p w:rsidR="009567AF" w:rsidRPr="009567AF" w:rsidRDefault="009567AF" w:rsidP="009567AF">
      <w:pPr>
        <w:spacing w:before="0" w:after="0" w:line="240" w:lineRule="auto"/>
        <w:ind w:firstLine="0"/>
      </w:pPr>
      <w:r w:rsidRPr="009567AF">
        <w:t>Page 98</w:t>
      </w:r>
    </w:p>
    <w:p w:rsidR="009567AF" w:rsidRPr="009567AF" w:rsidRDefault="009567AF" w:rsidP="009567AF">
      <w:pPr>
        <w:spacing w:before="0" w:after="0" w:line="240" w:lineRule="auto"/>
        <w:ind w:firstLine="0"/>
      </w:pPr>
      <w:hyperlink r:id="rId6" w:anchor="pa10" w:history="1">
        <w:r w:rsidRPr="009567AF">
          <w:rPr>
            <w:u w:val="single"/>
          </w:rPr>
          <w:t xml:space="preserve">Neal concocted a </w:t>
        </w:r>
        <w:proofErr w:type="gramStart"/>
        <w:r w:rsidRPr="009567AF">
          <w:rPr>
            <w:u w:val="single"/>
          </w:rPr>
          <w:t>scam</w:t>
        </w:r>
        <w:proofErr w:type="gramEnd"/>
        <w:r w:rsidRPr="009567AF">
          <w:rPr>
            <w:u w:val="single"/>
          </w:rPr>
          <w:t xml:space="preserve"> through which he intended to collect millions in worker's compensation insurance premiums from employers, and then bilk the workers when it came time to pay claims. To pull this off, Neal claimed to be a legitimate broker from an established </w:t>
        </w:r>
        <w:r w:rsidRPr="009567AF">
          <w:rPr>
            <w:i/>
            <w:iCs/>
            <w:u w:val="single"/>
          </w:rPr>
          <w:t>company</w:t>
        </w:r>
        <w:r w:rsidRPr="009567AF">
          <w:rPr>
            <w:u w:val="single"/>
          </w:rPr>
          <w:t xml:space="preserve"> with adequate funding and reinsurance. He created </w:t>
        </w:r>
        <w:r w:rsidRPr="009567AF">
          <w:rPr>
            <w:i/>
            <w:iCs/>
            <w:u w:val="single"/>
          </w:rPr>
          <w:t>shell companies</w:t>
        </w:r>
        <w:r w:rsidRPr="009567AF">
          <w:rPr>
            <w:u w:val="single"/>
          </w:rPr>
          <w:t xml:space="preserve"> to further his </w:t>
        </w:r>
        <w:r w:rsidRPr="009567AF">
          <w:rPr>
            <w:i/>
            <w:iCs/>
            <w:u w:val="single"/>
          </w:rPr>
          <w:t>fraud</w:t>
        </w:r>
        <w:r w:rsidRPr="009567AF">
          <w:rPr>
            <w:u w:val="single"/>
          </w:rPr>
          <w:t xml:space="preserve">, aliases for fictitious individuals who supposedly ran such </w:t>
        </w:r>
        <w:r w:rsidRPr="009567AF">
          <w:rPr>
            <w:i/>
            <w:iCs/>
            <w:u w:val="single"/>
          </w:rPr>
          <w:t>companies</w:t>
        </w:r>
        <w:r w:rsidRPr="009567AF">
          <w:rPr>
            <w:u w:val="single"/>
          </w:rPr>
          <w:t xml:space="preserve">, and through these </w:t>
        </w:r>
        <w:r w:rsidRPr="009567AF">
          <w:rPr>
            <w:i/>
            <w:iCs/>
            <w:u w:val="single"/>
          </w:rPr>
          <w:t>companies</w:t>
        </w:r>
        <w:r w:rsidRPr="009567AF">
          <w:rPr>
            <w:u w:val="single"/>
          </w:rPr>
          <w:t>, underbid legitimate competitors. He created forms for the "policies" he issued and collected premiums. Neal hired a third-party administrator, ostensibly to pay claims, but provided it with token funding. Neal also had in place an exit strategy: in the event of a catastrophic claim, he intended to take the money he had collected as premiums and flee the country.</w:t>
        </w:r>
      </w:hyperlink>
    </w:p>
    <w:p w:rsidR="00D653E0" w:rsidRDefault="00D653E0"/>
    <w:p w:rsidR="009567AF" w:rsidRPr="009567AF" w:rsidRDefault="009567AF" w:rsidP="009567AF">
      <w:pPr>
        <w:spacing w:before="100" w:beforeAutospacing="1" w:after="100" w:afterAutospacing="1" w:line="240" w:lineRule="auto"/>
        <w:ind w:firstLine="0"/>
        <w:outlineLvl w:val="3"/>
        <w:rPr>
          <w:b/>
          <w:bCs/>
        </w:rPr>
      </w:pPr>
      <w:hyperlink r:id="rId7" w:history="1">
        <w:r w:rsidRPr="009567AF">
          <w:rPr>
            <w:b/>
            <w:bCs/>
            <w:color w:val="0000FF"/>
            <w:u w:val="single"/>
          </w:rPr>
          <w:t xml:space="preserve">United States v. </w:t>
        </w:r>
        <w:proofErr w:type="spellStart"/>
        <w:r w:rsidRPr="009567AF">
          <w:rPr>
            <w:b/>
            <w:bCs/>
            <w:color w:val="0000FF"/>
            <w:u w:val="single"/>
          </w:rPr>
          <w:t>Isgar</w:t>
        </w:r>
        <w:proofErr w:type="spellEnd"/>
      </w:hyperlink>
    </w:p>
    <w:p w:rsidR="009567AF" w:rsidRPr="009567AF" w:rsidRDefault="009567AF" w:rsidP="009567AF">
      <w:pPr>
        <w:spacing w:before="0" w:after="0" w:line="240" w:lineRule="auto"/>
        <w:ind w:firstLine="0"/>
      </w:pPr>
      <w:r w:rsidRPr="009567AF">
        <w:t>739 F.3d 829 (5th Cir. 2014</w:t>
      </w:r>
      <w:proofErr w:type="gramStart"/>
      <w:r w:rsidRPr="009567AF">
        <w:t>)Cited</w:t>
      </w:r>
      <w:proofErr w:type="gramEnd"/>
      <w:r w:rsidRPr="009567AF">
        <w:t xml:space="preserve"> 891 times</w:t>
      </w:r>
    </w:p>
    <w:p w:rsidR="009567AF" w:rsidRPr="009567AF" w:rsidRDefault="009567AF" w:rsidP="009567AF">
      <w:pPr>
        <w:spacing w:before="0" w:after="0" w:line="240" w:lineRule="auto"/>
        <w:ind w:firstLine="0"/>
      </w:pPr>
      <w:r w:rsidRPr="009567AF">
        <w:t>Judge's Summary — Rejecting Tori Aldridge's claim that no reasonable jury could conclude that a conspiracy existed after March 26, 2005</w:t>
      </w:r>
    </w:p>
    <w:p w:rsidR="009567AF" w:rsidRPr="009567AF" w:rsidRDefault="009567AF" w:rsidP="009567AF">
      <w:pPr>
        <w:spacing w:before="0" w:after="0" w:line="240" w:lineRule="auto"/>
        <w:ind w:firstLine="0"/>
      </w:pPr>
      <w:proofErr w:type="gramStart"/>
      <w:r w:rsidRPr="009567AF">
        <w:t>1</w:t>
      </w:r>
      <w:proofErr w:type="gramEnd"/>
      <w:r w:rsidRPr="009567AF">
        <w:t xml:space="preserve"> of 10</w:t>
      </w:r>
    </w:p>
    <w:p w:rsidR="009567AF" w:rsidRPr="009567AF" w:rsidRDefault="009567AF" w:rsidP="009567AF">
      <w:pPr>
        <w:spacing w:before="0" w:after="0" w:line="240" w:lineRule="auto"/>
        <w:ind w:firstLine="0"/>
      </w:pPr>
      <w:r w:rsidRPr="009567AF">
        <w:t>Page 837</w:t>
      </w:r>
    </w:p>
    <w:p w:rsidR="009567AF" w:rsidRPr="009567AF" w:rsidRDefault="009567AF" w:rsidP="009567AF">
      <w:pPr>
        <w:spacing w:before="0" w:after="0" w:line="240" w:lineRule="auto"/>
        <w:ind w:firstLine="0"/>
      </w:pPr>
      <w:hyperlink r:id="rId8" w:anchor="pa47" w:history="1">
        <w:r w:rsidRPr="009567AF">
          <w:rPr>
            <w:u w:val="single"/>
          </w:rPr>
          <w:t xml:space="preserve">We rejected this argument in United States v. Kennedy. There, we addressed a similar mortgage </w:t>
        </w:r>
        <w:r w:rsidRPr="009567AF">
          <w:rPr>
            <w:i/>
            <w:iCs/>
            <w:u w:val="single"/>
          </w:rPr>
          <w:t>fraud</w:t>
        </w:r>
        <w:r w:rsidRPr="009567AF">
          <w:rPr>
            <w:u w:val="single"/>
          </w:rPr>
          <w:t xml:space="preserve"> scheme and held that the subsequent disbursements of mortgage loan funds from the title </w:t>
        </w:r>
        <w:r w:rsidRPr="009567AF">
          <w:rPr>
            <w:i/>
            <w:iCs/>
            <w:u w:val="single"/>
          </w:rPr>
          <w:t>company</w:t>
        </w:r>
        <w:r w:rsidRPr="009567AF">
          <w:rPr>
            <w:u w:val="single"/>
          </w:rPr>
          <w:t xml:space="preserve"> to the defendants' various </w:t>
        </w:r>
        <w:r w:rsidRPr="009567AF">
          <w:rPr>
            <w:i/>
            <w:iCs/>
            <w:u w:val="single"/>
          </w:rPr>
          <w:t>shell companies</w:t>
        </w:r>
        <w:r w:rsidRPr="009567AF">
          <w:rPr>
            <w:u w:val="single"/>
          </w:rPr>
          <w:t xml:space="preserve"> constituted different conduct underlying a different crime. We reasoned that wire </w:t>
        </w:r>
        <w:r w:rsidRPr="009567AF">
          <w:rPr>
            <w:i/>
            <w:iCs/>
            <w:u w:val="single"/>
          </w:rPr>
          <w:t>fraud</w:t>
        </w:r>
        <w:r w:rsidRPr="009567AF">
          <w:rPr>
            <w:u w:val="single"/>
          </w:rPr>
          <w:t xml:space="preserve"> </w:t>
        </w:r>
        <w:proofErr w:type="gramStart"/>
        <w:r w:rsidRPr="009567AF">
          <w:rPr>
            <w:u w:val="single"/>
          </w:rPr>
          <w:t>was completed</w:t>
        </w:r>
        <w:proofErr w:type="gramEnd"/>
        <w:r w:rsidRPr="009567AF">
          <w:rPr>
            <w:u w:val="single"/>
          </w:rPr>
          <w:t xml:space="preserve"> when the lender transmitted funds and that subsequent expenditures to make down payments on newly acquired mortgages and to make bonus payments to borrowers to encourage them to invest again were the use of profits to assist the defendants in committing new crimes of wire </w:t>
        </w:r>
        <w:r w:rsidRPr="009567AF">
          <w:rPr>
            <w:i/>
            <w:iCs/>
            <w:u w:val="single"/>
          </w:rPr>
          <w:t>fraud</w:t>
        </w:r>
        <w:r w:rsidRPr="009567AF">
          <w:rPr>
            <w:u w:val="single"/>
          </w:rPr>
          <w:t>. We concluded that payments of this nature “could not be anything but [the use of] profits.”</w:t>
        </w:r>
      </w:hyperlink>
    </w:p>
    <w:p w:rsidR="009567AF" w:rsidRDefault="009567AF" w:rsidP="009567AF">
      <w:pPr>
        <w:ind w:firstLine="0"/>
      </w:pPr>
    </w:p>
    <w:p w:rsidR="009567AF" w:rsidRDefault="009567AF" w:rsidP="009567AF">
      <w:pPr>
        <w:ind w:firstLine="0"/>
      </w:pPr>
      <w:r>
        <w:t xml:space="preserve">Kennedy Sounds </w:t>
      </w:r>
      <w:proofErr w:type="gramStart"/>
      <w:r>
        <w:t>Like</w:t>
      </w:r>
      <w:proofErr w:type="gramEnd"/>
      <w:r>
        <w:t xml:space="preserve"> Mendel</w:t>
      </w:r>
    </w:p>
    <w:p w:rsidR="009567AF" w:rsidRPr="009567AF" w:rsidRDefault="009567AF" w:rsidP="009567AF">
      <w:pPr>
        <w:spacing w:before="100" w:beforeAutospacing="1" w:after="100" w:afterAutospacing="1" w:line="240" w:lineRule="auto"/>
        <w:ind w:firstLine="0"/>
        <w:outlineLvl w:val="3"/>
        <w:rPr>
          <w:b/>
          <w:bCs/>
        </w:rPr>
      </w:pPr>
      <w:hyperlink r:id="rId9" w:history="1">
        <w:r w:rsidRPr="009567AF">
          <w:rPr>
            <w:b/>
            <w:bCs/>
            <w:color w:val="0000FF"/>
            <w:u w:val="single"/>
          </w:rPr>
          <w:t>United States v. Kennedy</w:t>
        </w:r>
      </w:hyperlink>
    </w:p>
    <w:p w:rsidR="009567AF" w:rsidRPr="009567AF" w:rsidRDefault="009567AF" w:rsidP="009567AF">
      <w:pPr>
        <w:spacing w:before="0" w:after="0" w:line="240" w:lineRule="auto"/>
        <w:ind w:firstLine="0"/>
      </w:pPr>
      <w:r w:rsidRPr="009567AF">
        <w:t>707 F.3d 558 (5th Cir. 2013</w:t>
      </w:r>
      <w:proofErr w:type="gramStart"/>
      <w:r w:rsidRPr="009567AF">
        <w:t>)Cited</w:t>
      </w:r>
      <w:proofErr w:type="gramEnd"/>
      <w:r w:rsidRPr="009567AF">
        <w:t xml:space="preserve"> 17 times</w:t>
      </w:r>
    </w:p>
    <w:p w:rsidR="009567AF" w:rsidRPr="009567AF" w:rsidRDefault="009567AF" w:rsidP="009567AF">
      <w:pPr>
        <w:spacing w:before="0" w:after="0" w:line="240" w:lineRule="auto"/>
        <w:ind w:firstLine="0"/>
      </w:pPr>
      <w:r w:rsidRPr="009567AF">
        <w:t xml:space="preserve">Judge's Summary — </w:t>
      </w:r>
      <w:proofErr w:type="gramStart"/>
      <w:r w:rsidRPr="009567AF">
        <w:t>Affirming</w:t>
      </w:r>
      <w:proofErr w:type="gramEnd"/>
      <w:r w:rsidRPr="009567AF">
        <w:t xml:space="preserve"> judgment and examining evidence against the Kennedys</w:t>
      </w:r>
    </w:p>
    <w:p w:rsidR="009567AF" w:rsidRPr="009567AF" w:rsidRDefault="009567AF" w:rsidP="009567AF">
      <w:pPr>
        <w:spacing w:before="0" w:after="0" w:line="240" w:lineRule="auto"/>
        <w:ind w:firstLine="0"/>
      </w:pPr>
      <w:proofErr w:type="gramStart"/>
      <w:r w:rsidRPr="009567AF">
        <w:t>1</w:t>
      </w:r>
      <w:proofErr w:type="gramEnd"/>
      <w:r w:rsidRPr="009567AF">
        <w:t xml:space="preserve"> of 10</w:t>
      </w:r>
    </w:p>
    <w:p w:rsidR="009567AF" w:rsidRPr="009567AF" w:rsidRDefault="009567AF" w:rsidP="009567AF">
      <w:pPr>
        <w:spacing w:before="0" w:after="0" w:line="240" w:lineRule="auto"/>
        <w:ind w:firstLine="0"/>
      </w:pPr>
      <w:r w:rsidRPr="009567AF">
        <w:t>Page 567</w:t>
      </w:r>
    </w:p>
    <w:p w:rsidR="009567AF" w:rsidRPr="009567AF" w:rsidRDefault="009567AF" w:rsidP="009567AF">
      <w:pPr>
        <w:spacing w:before="0" w:after="0" w:line="240" w:lineRule="auto"/>
        <w:ind w:firstLine="0"/>
      </w:pPr>
      <w:hyperlink r:id="rId10" w:anchor="pa51" w:history="1">
        <w:r w:rsidRPr="009567AF">
          <w:rPr>
            <w:u w:val="single"/>
          </w:rPr>
          <w:t xml:space="preserve">We turn now to the argument that the two criminal statutes merged because the proceeds upon which the money laundering counts </w:t>
        </w:r>
        <w:proofErr w:type="gramStart"/>
        <w:r w:rsidRPr="009567AF">
          <w:rPr>
            <w:u w:val="single"/>
          </w:rPr>
          <w:t>were based</w:t>
        </w:r>
        <w:proofErr w:type="gramEnd"/>
        <w:r w:rsidRPr="009567AF">
          <w:rPr>
            <w:u w:val="single"/>
          </w:rPr>
          <w:t xml:space="preserve"> were not profits from the wire </w:t>
        </w:r>
        <w:r w:rsidRPr="009567AF">
          <w:rPr>
            <w:i/>
            <w:iCs/>
            <w:u w:val="single"/>
          </w:rPr>
          <w:t>fraud</w:t>
        </w:r>
        <w:r w:rsidRPr="009567AF">
          <w:rPr>
            <w:u w:val="single"/>
          </w:rPr>
          <w:t xml:space="preserve">, but instead, were gross receipts of the wire </w:t>
        </w:r>
        <w:r w:rsidRPr="009567AF">
          <w:rPr>
            <w:i/>
            <w:iCs/>
            <w:u w:val="single"/>
          </w:rPr>
          <w:t>fraud</w:t>
        </w:r>
        <w:r w:rsidRPr="009567AF">
          <w:rPr>
            <w:u w:val="single"/>
          </w:rPr>
          <w:t xml:space="preserve"> scheme used only to pay business expenses incurred in executing the earlier crimes of wire </w:t>
        </w:r>
        <w:r w:rsidRPr="009567AF">
          <w:rPr>
            <w:i/>
            <w:iCs/>
            <w:u w:val="single"/>
          </w:rPr>
          <w:t>fraud</w:t>
        </w:r>
        <w:r w:rsidRPr="009567AF">
          <w:rPr>
            <w:u w:val="single"/>
          </w:rPr>
          <w:t xml:space="preserve">. After close review, we find this case does not present facts in which the money laundering transactions were “mere payment” of an expense of carrying on the wire </w:t>
        </w:r>
        <w:r w:rsidRPr="009567AF">
          <w:rPr>
            <w:i/>
            <w:iCs/>
            <w:u w:val="single"/>
          </w:rPr>
          <w:t>fraud</w:t>
        </w:r>
        <w:r w:rsidRPr="009567AF">
          <w:rPr>
            <w:u w:val="single"/>
          </w:rPr>
          <w:t xml:space="preserve"> crime. Santos, 553 U.S. at 527, 128 </w:t>
        </w:r>
        <w:proofErr w:type="spellStart"/>
        <w:r w:rsidRPr="009567AF">
          <w:rPr>
            <w:u w:val="single"/>
          </w:rPr>
          <w:t>S.Ct</w:t>
        </w:r>
        <w:proofErr w:type="spellEnd"/>
        <w:r w:rsidRPr="009567AF">
          <w:rPr>
            <w:u w:val="single"/>
          </w:rPr>
          <w:t xml:space="preserve">. 2020 (Stevens, J., concurring). In the first place, the transactions that </w:t>
        </w:r>
        <w:proofErr w:type="gramStart"/>
        <w:r w:rsidRPr="009567AF">
          <w:rPr>
            <w:u w:val="single"/>
          </w:rPr>
          <w:t>are charged</w:t>
        </w:r>
        <w:proofErr w:type="gramEnd"/>
        <w:r w:rsidRPr="009567AF">
          <w:rPr>
            <w:u w:val="single"/>
          </w:rPr>
          <w:t xml:space="preserve"> as money laundering only involve the transfers of money from LCTS to the </w:t>
        </w:r>
        <w:r w:rsidRPr="009567AF">
          <w:rPr>
            <w:i/>
            <w:iCs/>
            <w:u w:val="single"/>
          </w:rPr>
          <w:t>shell</w:t>
        </w:r>
        <w:r w:rsidRPr="009567AF">
          <w:rPr>
            <w:u w:val="single"/>
          </w:rPr>
          <w:t xml:space="preserve"> corporations to satisfy the fraudulent liens Calhoun had conjured up. Accordingly, there were virtually no expenses related to the money transferred, and this money constitutes profits, and profits only. As in United States v. Brown, “the money laundering [transactions] at issue d [id] not involve ‘mere payment’; rather, [they] clearly involve[d] payments for more ” fraudulent mortgage loan transactions “made out of accounts well-padded with the profits from the appellants' criminal enterprises.” </w:t>
        </w:r>
        <w:proofErr w:type="gramStart"/>
        <w:r w:rsidRPr="009567AF">
          <w:rPr>
            <w:u w:val="single"/>
          </w:rPr>
          <w:t>553</w:t>
        </w:r>
        <w:proofErr w:type="gramEnd"/>
        <w:r w:rsidRPr="009567AF">
          <w:rPr>
            <w:u w:val="single"/>
          </w:rPr>
          <w:t xml:space="preserve"> F.3d at 785 (emphasis added). Moreover, the Government demonstrated that Calhoun used funds from the loan closing disbursements, made to the </w:t>
        </w:r>
        <w:r w:rsidRPr="009567AF">
          <w:rPr>
            <w:i/>
            <w:iCs/>
            <w:u w:val="single"/>
          </w:rPr>
          <w:t>shell companies</w:t>
        </w:r>
        <w:r w:rsidRPr="009567AF">
          <w:rPr>
            <w:u w:val="single"/>
          </w:rPr>
          <w:t xml:space="preserve">, to make </w:t>
        </w:r>
        <w:proofErr w:type="spellStart"/>
        <w:r w:rsidRPr="009567AF">
          <w:rPr>
            <w:u w:val="single"/>
          </w:rPr>
          <w:t>downpayments</w:t>
        </w:r>
        <w:proofErr w:type="spellEnd"/>
        <w:r w:rsidRPr="009567AF">
          <w:rPr>
            <w:u w:val="single"/>
          </w:rPr>
          <w:t xml:space="preserve"> on newly acquired mortgages and to make bonus payments to borrowers to encourage them to invest again. The Government further showed that the </w:t>
        </w:r>
        <w:r w:rsidRPr="009567AF">
          <w:rPr>
            <w:i/>
            <w:iCs/>
            <w:u w:val="single"/>
          </w:rPr>
          <w:t>shell companies</w:t>
        </w:r>
        <w:r w:rsidRPr="009567AF">
          <w:rPr>
            <w:u w:val="single"/>
          </w:rPr>
          <w:t xml:space="preserve"> incurred no expenses and performed no services in implementing the earlier wire </w:t>
        </w:r>
        <w:r w:rsidRPr="009567AF">
          <w:rPr>
            <w:i/>
            <w:iCs/>
            <w:u w:val="single"/>
          </w:rPr>
          <w:t>fraud</w:t>
        </w:r>
        <w:r w:rsidRPr="009567AF">
          <w:rPr>
            <w:u w:val="single"/>
          </w:rPr>
          <w:t xml:space="preserve"> crimes. Thus, the defendants cannot plausibly argue that the disbursements made to these </w:t>
        </w:r>
        <w:r w:rsidRPr="009567AF">
          <w:rPr>
            <w:i/>
            <w:iCs/>
            <w:u w:val="single"/>
          </w:rPr>
          <w:t>companies</w:t>
        </w:r>
        <w:r w:rsidRPr="009567AF">
          <w:rPr>
            <w:u w:val="single"/>
          </w:rPr>
          <w:t xml:space="preserve"> were for previously incurred expenses—indeed, they could not be anything but profits.</w:t>
        </w:r>
      </w:hyperlink>
    </w:p>
    <w:p w:rsidR="009567AF" w:rsidRDefault="009567AF" w:rsidP="009567AF">
      <w:pPr>
        <w:ind w:firstLine="0"/>
      </w:pPr>
    </w:p>
    <w:p w:rsidR="009567AF" w:rsidRPr="009567AF" w:rsidRDefault="009567AF" w:rsidP="009567AF">
      <w:pPr>
        <w:spacing w:before="100" w:beforeAutospacing="1" w:after="100" w:afterAutospacing="1" w:line="240" w:lineRule="auto"/>
        <w:ind w:firstLine="0"/>
        <w:outlineLvl w:val="3"/>
        <w:rPr>
          <w:b/>
          <w:bCs/>
        </w:rPr>
      </w:pPr>
      <w:hyperlink r:id="rId11" w:history="1">
        <w:r w:rsidRPr="009567AF">
          <w:rPr>
            <w:b/>
            <w:bCs/>
            <w:color w:val="0000FF"/>
            <w:u w:val="single"/>
          </w:rPr>
          <w:t>United States v. Simpson</w:t>
        </w:r>
      </w:hyperlink>
    </w:p>
    <w:p w:rsidR="009567AF" w:rsidRPr="009567AF" w:rsidRDefault="009567AF" w:rsidP="009567AF">
      <w:pPr>
        <w:spacing w:before="0" w:after="0" w:line="240" w:lineRule="auto"/>
        <w:ind w:firstLine="0"/>
      </w:pPr>
      <w:r w:rsidRPr="009567AF">
        <w:t>741 F.3d 539 (5th Cir. 2014</w:t>
      </w:r>
      <w:proofErr w:type="gramStart"/>
      <w:r w:rsidRPr="009567AF">
        <w:t>)Cited</w:t>
      </w:r>
      <w:proofErr w:type="gramEnd"/>
      <w:r w:rsidRPr="009567AF">
        <w:t xml:space="preserve"> 87 times1 Legal Analyses</w:t>
      </w:r>
    </w:p>
    <w:p w:rsidR="009567AF" w:rsidRPr="009567AF" w:rsidRDefault="009567AF" w:rsidP="009567AF">
      <w:pPr>
        <w:spacing w:before="0" w:after="0" w:line="240" w:lineRule="auto"/>
        <w:ind w:firstLine="0"/>
      </w:pPr>
      <w:r w:rsidRPr="009567AF">
        <w:t xml:space="preserve">Judge's Summary — </w:t>
      </w:r>
      <w:proofErr w:type="gramStart"/>
      <w:r w:rsidRPr="009567AF">
        <w:t>Holding</w:t>
      </w:r>
      <w:proofErr w:type="gramEnd"/>
      <w:r w:rsidRPr="009567AF">
        <w:t xml:space="preserve"> an "inability to remember the exact date and details of the meeting" is an issue of credibility for the jury to decide</w:t>
      </w:r>
    </w:p>
    <w:p w:rsidR="009567AF" w:rsidRPr="009567AF" w:rsidRDefault="009567AF" w:rsidP="009567AF">
      <w:pPr>
        <w:spacing w:before="0" w:after="0" w:line="240" w:lineRule="auto"/>
        <w:ind w:firstLine="0"/>
      </w:pPr>
      <w:proofErr w:type="gramStart"/>
      <w:r w:rsidRPr="009567AF">
        <w:t>1</w:t>
      </w:r>
      <w:proofErr w:type="gramEnd"/>
      <w:r w:rsidRPr="009567AF">
        <w:t xml:space="preserve"> of 10</w:t>
      </w:r>
    </w:p>
    <w:p w:rsidR="009567AF" w:rsidRPr="009567AF" w:rsidRDefault="009567AF" w:rsidP="009567AF">
      <w:pPr>
        <w:spacing w:before="0" w:after="0" w:line="240" w:lineRule="auto"/>
        <w:ind w:firstLine="0"/>
      </w:pPr>
      <w:r w:rsidRPr="009567AF">
        <w:t>Page 549</w:t>
      </w:r>
    </w:p>
    <w:p w:rsidR="009567AF" w:rsidRPr="009567AF" w:rsidRDefault="009567AF" w:rsidP="009567AF">
      <w:pPr>
        <w:spacing w:before="0" w:after="0" w:line="240" w:lineRule="auto"/>
        <w:ind w:firstLine="0"/>
      </w:pPr>
      <w:hyperlink r:id="rId12" w:anchor="pa24" w:history="1">
        <w:r w:rsidRPr="009567AF">
          <w:rPr>
            <w:u w:val="single"/>
          </w:rPr>
          <w:t xml:space="preserve">The principal considerations in counting the number of conspiracies are (1) the existence of a common goal; (2) the nature of the scheme; and (3) the overlapping of the participants in the various dealings. </w:t>
        </w:r>
        <w:proofErr w:type="gramStart"/>
        <w:r w:rsidRPr="009567AF">
          <w:rPr>
            <w:u w:val="single"/>
          </w:rPr>
          <w:t>Id. at 770.</w:t>
        </w:r>
        <w:proofErr w:type="gramEnd"/>
        <w:r w:rsidRPr="009567AF">
          <w:rPr>
            <w:u w:val="single"/>
          </w:rPr>
          <w:t xml:space="preserve"> “This court has broadly defined the criterion of a common goal in counting conspiracies.” Id. For example, in Morris, we held that the common goal of profiting from the illicit business of buying and selling cocaine constituted a single conspiracy. Morris, </w:t>
        </w:r>
        <w:proofErr w:type="gramStart"/>
        <w:r w:rsidRPr="009567AF">
          <w:rPr>
            <w:u w:val="single"/>
          </w:rPr>
          <w:t>46 F.3d at 415</w:t>
        </w:r>
        <w:proofErr w:type="gramEnd"/>
        <w:r w:rsidRPr="009567AF">
          <w:rPr>
            <w:u w:val="single"/>
          </w:rPr>
          <w:t xml:space="preserve">. Likewise, the jury here could reasonably have concluded that the common goal of the charged conspiracy was to derive personal gain from the creation of </w:t>
        </w:r>
        <w:r w:rsidRPr="009567AF">
          <w:rPr>
            <w:i/>
            <w:iCs/>
            <w:u w:val="single"/>
          </w:rPr>
          <w:t>shell companies</w:t>
        </w:r>
        <w:r w:rsidRPr="009567AF">
          <w:rPr>
            <w:u w:val="single"/>
          </w:rPr>
          <w:t xml:space="preserve"> and other fraudulent actions to defraud telecommunications </w:t>
        </w:r>
        <w:proofErr w:type="spellStart"/>
        <w:r w:rsidRPr="009567AF">
          <w:rPr>
            <w:u w:val="single"/>
          </w:rPr>
          <w:t>companiesout</w:t>
        </w:r>
        <w:proofErr w:type="spellEnd"/>
        <w:r w:rsidRPr="009567AF">
          <w:rPr>
            <w:u w:val="single"/>
          </w:rPr>
          <w:t xml:space="preserve"> of services and property. Regarding the nature of the scheme, “the existence of a single conspiracy will be inferred where the activities of one aspect of the scheme are necessary or advantageous to the success of another aspect or to the overall success of the venture, where there are several parts inherent in a larger common plan.” </w:t>
        </w:r>
        <w:proofErr w:type="gramStart"/>
        <w:r w:rsidRPr="009567AF">
          <w:rPr>
            <w:u w:val="single"/>
          </w:rPr>
          <w:t>Id. at 416.</w:t>
        </w:r>
        <w:proofErr w:type="gramEnd"/>
        <w:r w:rsidRPr="009567AF">
          <w:rPr>
            <w:u w:val="single"/>
          </w:rPr>
          <w:t xml:space="preserve"> Here, the jury could reasonably have found “several parts inherent in a larger common plan,” in which the </w:t>
        </w:r>
        <w:r w:rsidRPr="009567AF">
          <w:rPr>
            <w:i/>
            <w:iCs/>
            <w:u w:val="single"/>
          </w:rPr>
          <w:t>fraud</w:t>
        </w:r>
        <w:r w:rsidRPr="009567AF">
          <w:rPr>
            <w:u w:val="single"/>
          </w:rPr>
          <w:t xml:space="preserve"> scheme was dependent on various conspirators continuing to perform their functions. Some co-conspirators created </w:t>
        </w:r>
        <w:r w:rsidRPr="009567AF">
          <w:rPr>
            <w:i/>
            <w:iCs/>
            <w:u w:val="single"/>
          </w:rPr>
          <w:t>shell companies</w:t>
        </w:r>
        <w:r w:rsidRPr="009567AF">
          <w:rPr>
            <w:u w:val="single"/>
          </w:rPr>
          <w:t xml:space="preserve"> or falsified documents, while some used those </w:t>
        </w:r>
        <w:r w:rsidRPr="009567AF">
          <w:rPr>
            <w:i/>
            <w:iCs/>
            <w:u w:val="single"/>
          </w:rPr>
          <w:t>companies</w:t>
        </w:r>
        <w:r w:rsidRPr="009567AF">
          <w:rPr>
            <w:u w:val="single"/>
          </w:rPr>
          <w:t xml:space="preserve"> or false documents to obtain telecommunications services, and some used their positions or expertise in various ways to avoid detection and to </w:t>
        </w:r>
        <w:r w:rsidRPr="009567AF">
          <w:rPr>
            <w:u w:val="single"/>
          </w:rPr>
          <w:lastRenderedPageBreak/>
          <w:t xml:space="preserve">avoid paying the bills. Finally, the third criterion “examines the interrelationships among the various participants in the conspiracy.” Id. The more interconnected the relationships, the more likely it is that there is a single conspiracy. See id. Here, there was evidence of Simpson's repeated concerted action with a core group of co-conspirators, including with Faulkner, who Simpson alleges was the primary perpetrator of </w:t>
        </w:r>
        <w:r w:rsidRPr="009567AF">
          <w:rPr>
            <w:i/>
            <w:iCs/>
            <w:u w:val="single"/>
          </w:rPr>
          <w:t>fraud</w:t>
        </w:r>
        <w:r w:rsidRPr="009567AF">
          <w:rPr>
            <w:u w:val="single"/>
          </w:rPr>
          <w:t xml:space="preserve">. Though the other players in the conspiracy changed over time, the jury could reasonably have found that Simpson was consistently involved with core conspirators to defraud </w:t>
        </w:r>
        <w:r w:rsidRPr="009567AF">
          <w:rPr>
            <w:i/>
            <w:iCs/>
            <w:u w:val="single"/>
          </w:rPr>
          <w:t>companies</w:t>
        </w:r>
        <w:r w:rsidRPr="009567AF">
          <w:rPr>
            <w:u w:val="single"/>
          </w:rPr>
          <w:t xml:space="preserve"> of goods and services. William Watts, a primary actor in the conspiracy, testified that Simpson was part of the “inner circle.” Jason Watts, another conspirator, testified that Simpson and Faulkner acted in concert to set up </w:t>
        </w:r>
        <w:r w:rsidRPr="009567AF">
          <w:rPr>
            <w:i/>
            <w:iCs/>
            <w:u w:val="single"/>
          </w:rPr>
          <w:t>shell companies</w:t>
        </w:r>
        <w:r w:rsidRPr="009567AF">
          <w:rPr>
            <w:u w:val="single"/>
          </w:rPr>
          <w:t xml:space="preserve">, shared databases, and worked together in their business arrangements. In sum, Simpson </w:t>
        </w:r>
        <w:proofErr w:type="gramStart"/>
        <w:r w:rsidRPr="009567AF">
          <w:rPr>
            <w:u w:val="single"/>
          </w:rPr>
          <w:t>is particularly poorly positioned</w:t>
        </w:r>
        <w:proofErr w:type="gramEnd"/>
        <w:r w:rsidRPr="009567AF">
          <w:rPr>
            <w:u w:val="single"/>
          </w:rPr>
          <w:t xml:space="preserve"> to contest the proof of a single conspiracy, when the evidence supports the conclusion that he was consistently near the center of the scheme. b. Buyer–Seller Relationship</w:t>
        </w:r>
      </w:hyperlink>
    </w:p>
    <w:p w:rsidR="009567AF" w:rsidRDefault="009567AF" w:rsidP="009567AF">
      <w:pPr>
        <w:ind w:firstLine="0"/>
      </w:pPr>
    </w:p>
    <w:p w:rsidR="009567AF" w:rsidRDefault="009567AF" w:rsidP="009567AF">
      <w:pPr>
        <w:ind w:firstLine="0"/>
      </w:pPr>
      <w:bookmarkStart w:id="0" w:name="_GoBack"/>
      <w:bookmarkEnd w:id="0"/>
    </w:p>
    <w:sectPr w:rsidR="009567AF"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0"/>
  </w:num>
  <w:num w:numId="12">
    <w:abstractNumId w:val="8"/>
  </w:num>
  <w:num w:numId="13">
    <w:abstractNumId w:val="6"/>
  </w:num>
  <w:num w:numId="14">
    <w:abstractNumId w:val="6"/>
  </w:num>
  <w:num w:numId="15">
    <w:abstractNumId w:val="6"/>
  </w:num>
  <w:num w:numId="16">
    <w:abstractNumId w:val="8"/>
  </w:num>
  <w:num w:numId="17">
    <w:abstractNumId w:val="6"/>
  </w:num>
  <w:num w:numId="18">
    <w:abstractNumId w:val="6"/>
  </w:num>
  <w:num w:numId="19">
    <w:abstractNumId w:val="6"/>
  </w:num>
  <w:num w:numId="20">
    <w:abstractNumId w:val="8"/>
  </w:num>
  <w:num w:numId="21">
    <w:abstractNumId w:val="6"/>
  </w:num>
  <w:num w:numId="22">
    <w:abstractNumId w:val="6"/>
  </w:num>
  <w:num w:numId="23">
    <w:abstractNumId w:val="6"/>
  </w:num>
  <w:num w:numId="24">
    <w:abstractNumId w:val="8"/>
  </w:num>
  <w:num w:numId="25">
    <w:abstractNumId w:val="6"/>
  </w:num>
  <w:num w:numId="26">
    <w:abstractNumId w:val="6"/>
  </w:num>
  <w:num w:numId="27">
    <w:abstractNumId w:val="6"/>
  </w:num>
  <w:num w:numId="28">
    <w:abstractNumId w:val="8"/>
  </w:num>
  <w:num w:numId="29">
    <w:abstractNumId w:val="6"/>
  </w:num>
  <w:num w:numId="30">
    <w:abstractNumId w:val="9"/>
  </w:num>
  <w:num w:numId="31">
    <w:abstractNumId w:val="9"/>
  </w:num>
  <w:num w:numId="32">
    <w:abstractNumId w:val="9"/>
  </w:num>
  <w:num w:numId="33">
    <w:abstractNumId w:val="8"/>
  </w:num>
  <w:num w:numId="34">
    <w:abstractNumId w:val="0"/>
  </w:num>
  <w:num w:numId="35">
    <w:abstractNumId w:val="0"/>
  </w:num>
  <w:num w:numId="36">
    <w:abstractNumId w:val="8"/>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
  </w:num>
  <w:num w:numId="41">
    <w:abstractNumId w:val="3"/>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AF"/>
    <w:rsid w:val="00003545"/>
    <w:rsid w:val="0002109F"/>
    <w:rsid w:val="00077DF9"/>
    <w:rsid w:val="00091071"/>
    <w:rsid w:val="000D0E94"/>
    <w:rsid w:val="000F738F"/>
    <w:rsid w:val="00124D37"/>
    <w:rsid w:val="001A3F32"/>
    <w:rsid w:val="001D0B0A"/>
    <w:rsid w:val="001D6254"/>
    <w:rsid w:val="00222515"/>
    <w:rsid w:val="00237452"/>
    <w:rsid w:val="0024453E"/>
    <w:rsid w:val="002B0C9B"/>
    <w:rsid w:val="002F6C12"/>
    <w:rsid w:val="003A6462"/>
    <w:rsid w:val="003F4B40"/>
    <w:rsid w:val="00424FE8"/>
    <w:rsid w:val="005157AC"/>
    <w:rsid w:val="00537D5C"/>
    <w:rsid w:val="0055091F"/>
    <w:rsid w:val="005B4D26"/>
    <w:rsid w:val="005C53EF"/>
    <w:rsid w:val="005E0485"/>
    <w:rsid w:val="00632E36"/>
    <w:rsid w:val="00644CA5"/>
    <w:rsid w:val="00653D93"/>
    <w:rsid w:val="006A479E"/>
    <w:rsid w:val="006B3E57"/>
    <w:rsid w:val="007158F1"/>
    <w:rsid w:val="00721920"/>
    <w:rsid w:val="00727055"/>
    <w:rsid w:val="007322BB"/>
    <w:rsid w:val="007515B7"/>
    <w:rsid w:val="00756AA9"/>
    <w:rsid w:val="0079737C"/>
    <w:rsid w:val="007B2354"/>
    <w:rsid w:val="007C1128"/>
    <w:rsid w:val="008303EB"/>
    <w:rsid w:val="00855E0E"/>
    <w:rsid w:val="008B060C"/>
    <w:rsid w:val="008B0BF5"/>
    <w:rsid w:val="00932191"/>
    <w:rsid w:val="00950776"/>
    <w:rsid w:val="009567AF"/>
    <w:rsid w:val="00974001"/>
    <w:rsid w:val="00975538"/>
    <w:rsid w:val="00977F59"/>
    <w:rsid w:val="009A3184"/>
    <w:rsid w:val="009A77A7"/>
    <w:rsid w:val="009D75C0"/>
    <w:rsid w:val="00A17B47"/>
    <w:rsid w:val="00A237F9"/>
    <w:rsid w:val="00A82FAD"/>
    <w:rsid w:val="00AA17D1"/>
    <w:rsid w:val="00AB0B1E"/>
    <w:rsid w:val="00AC0531"/>
    <w:rsid w:val="00B02C6D"/>
    <w:rsid w:val="00B32522"/>
    <w:rsid w:val="00B64FE7"/>
    <w:rsid w:val="00B67DE7"/>
    <w:rsid w:val="00B87F04"/>
    <w:rsid w:val="00C10E52"/>
    <w:rsid w:val="00C33529"/>
    <w:rsid w:val="00C42C11"/>
    <w:rsid w:val="00C67045"/>
    <w:rsid w:val="00CB15BE"/>
    <w:rsid w:val="00CB2AE0"/>
    <w:rsid w:val="00D46133"/>
    <w:rsid w:val="00D653E0"/>
    <w:rsid w:val="00DE5A41"/>
    <w:rsid w:val="00E65E37"/>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AA17D1"/>
    <w:pPr>
      <w:spacing w:before="120" w:after="240"/>
      <w:ind w:left="720" w:right="720"/>
      <w:contextualSpacing/>
      <w:jc w:val="both"/>
    </w:pPr>
    <w:rPr>
      <w:bCs/>
      <w:i/>
      <w:iCs/>
      <w:sz w:val="28"/>
      <w:szCs w:val="24"/>
    </w:rPr>
  </w:style>
  <w:style w:type="character" w:customStyle="1" w:styleId="QuoteChar">
    <w:name w:val="Quote Char"/>
    <w:link w:val="Quote"/>
    <w:uiPriority w:val="29"/>
    <w:rsid w:val="00AA17D1"/>
    <w:rPr>
      <w:bCs/>
      <w:i/>
      <w:iCs/>
      <w:sz w:val="28"/>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t-search-result-citation">
    <w:name w:val="ct-search-result-citation"/>
    <w:basedOn w:val="DefaultParagraphFont"/>
    <w:rsid w:val="009567AF"/>
  </w:style>
  <w:style w:type="character" w:customStyle="1" w:styleId="ct-search-result-cite-count">
    <w:name w:val="ct-search-result-cite-count"/>
    <w:basedOn w:val="DefaultParagraphFont"/>
    <w:rsid w:val="009567AF"/>
  </w:style>
  <w:style w:type="character" w:customStyle="1" w:styleId="summary-prefix-pmt">
    <w:name w:val="summary-prefix-pmt"/>
    <w:basedOn w:val="DefaultParagraphFont"/>
    <w:rsid w:val="009567AF"/>
  </w:style>
  <w:style w:type="character" w:customStyle="1" w:styleId="muitypography-root">
    <w:name w:val="muitypography-root"/>
    <w:basedOn w:val="DefaultParagraphFont"/>
    <w:rsid w:val="009567AF"/>
  </w:style>
  <w:style w:type="character" w:customStyle="1" w:styleId="ct-result-summary-snippet">
    <w:name w:val="ct-result-summary-snippet"/>
    <w:basedOn w:val="DefaultParagraphFont"/>
    <w:rsid w:val="009567AF"/>
  </w:style>
  <w:style w:type="character" w:customStyle="1" w:styleId="css-pkhy8p">
    <w:name w:val="css-pkhy8p"/>
    <w:basedOn w:val="DefaultParagraphFont"/>
    <w:rsid w:val="009567AF"/>
  </w:style>
  <w:style w:type="character" w:styleId="Emphasis">
    <w:name w:val="Emphasis"/>
    <w:basedOn w:val="DefaultParagraphFont"/>
    <w:uiPriority w:val="20"/>
    <w:qFormat/>
    <w:rsid w:val="009567AF"/>
    <w:rPr>
      <w:i/>
      <w:iCs/>
    </w:rPr>
  </w:style>
  <w:style w:type="character" w:customStyle="1" w:styleId="ct-search-result-analyses-count">
    <w:name w:val="ct-search-result-analyses-count"/>
    <w:basedOn w:val="DefaultParagraphFont"/>
    <w:rsid w:val="00956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AA17D1"/>
    <w:pPr>
      <w:spacing w:before="120" w:after="240"/>
      <w:ind w:left="720" w:right="720"/>
      <w:contextualSpacing/>
      <w:jc w:val="both"/>
    </w:pPr>
    <w:rPr>
      <w:bCs/>
      <w:i/>
      <w:iCs/>
      <w:sz w:val="28"/>
      <w:szCs w:val="24"/>
    </w:rPr>
  </w:style>
  <w:style w:type="character" w:customStyle="1" w:styleId="QuoteChar">
    <w:name w:val="Quote Char"/>
    <w:link w:val="Quote"/>
    <w:uiPriority w:val="29"/>
    <w:rsid w:val="00AA17D1"/>
    <w:rPr>
      <w:bCs/>
      <w:i/>
      <w:iCs/>
      <w:sz w:val="28"/>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t-search-result-citation">
    <w:name w:val="ct-search-result-citation"/>
    <w:basedOn w:val="DefaultParagraphFont"/>
    <w:rsid w:val="009567AF"/>
  </w:style>
  <w:style w:type="character" w:customStyle="1" w:styleId="ct-search-result-cite-count">
    <w:name w:val="ct-search-result-cite-count"/>
    <w:basedOn w:val="DefaultParagraphFont"/>
    <w:rsid w:val="009567AF"/>
  </w:style>
  <w:style w:type="character" w:customStyle="1" w:styleId="summary-prefix-pmt">
    <w:name w:val="summary-prefix-pmt"/>
    <w:basedOn w:val="DefaultParagraphFont"/>
    <w:rsid w:val="009567AF"/>
  </w:style>
  <w:style w:type="character" w:customStyle="1" w:styleId="muitypography-root">
    <w:name w:val="muitypography-root"/>
    <w:basedOn w:val="DefaultParagraphFont"/>
    <w:rsid w:val="009567AF"/>
  </w:style>
  <w:style w:type="character" w:customStyle="1" w:styleId="ct-result-summary-snippet">
    <w:name w:val="ct-result-summary-snippet"/>
    <w:basedOn w:val="DefaultParagraphFont"/>
    <w:rsid w:val="009567AF"/>
  </w:style>
  <w:style w:type="character" w:customStyle="1" w:styleId="css-pkhy8p">
    <w:name w:val="css-pkhy8p"/>
    <w:basedOn w:val="DefaultParagraphFont"/>
    <w:rsid w:val="009567AF"/>
  </w:style>
  <w:style w:type="character" w:styleId="Emphasis">
    <w:name w:val="Emphasis"/>
    <w:basedOn w:val="DefaultParagraphFont"/>
    <w:uiPriority w:val="20"/>
    <w:qFormat/>
    <w:rsid w:val="009567AF"/>
    <w:rPr>
      <w:i/>
      <w:iCs/>
    </w:rPr>
  </w:style>
  <w:style w:type="character" w:customStyle="1" w:styleId="ct-search-result-analyses-count">
    <w:name w:val="ct-search-result-analyses-count"/>
    <w:basedOn w:val="DefaultParagraphFont"/>
    <w:rsid w:val="00956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86661">
      <w:bodyDiv w:val="1"/>
      <w:marLeft w:val="0"/>
      <w:marRight w:val="0"/>
      <w:marTop w:val="0"/>
      <w:marBottom w:val="0"/>
      <w:divBdr>
        <w:top w:val="none" w:sz="0" w:space="0" w:color="auto"/>
        <w:left w:val="none" w:sz="0" w:space="0" w:color="auto"/>
        <w:bottom w:val="none" w:sz="0" w:space="0" w:color="auto"/>
        <w:right w:val="none" w:sz="0" w:space="0" w:color="auto"/>
      </w:divBdr>
      <w:divsChild>
        <w:div w:id="1360080217">
          <w:marLeft w:val="0"/>
          <w:marRight w:val="0"/>
          <w:marTop w:val="0"/>
          <w:marBottom w:val="0"/>
          <w:divBdr>
            <w:top w:val="none" w:sz="0" w:space="0" w:color="auto"/>
            <w:left w:val="none" w:sz="0" w:space="0" w:color="auto"/>
            <w:bottom w:val="none" w:sz="0" w:space="0" w:color="auto"/>
            <w:right w:val="none" w:sz="0" w:space="0" w:color="auto"/>
          </w:divBdr>
          <w:divsChild>
            <w:div w:id="1144859443">
              <w:marLeft w:val="0"/>
              <w:marRight w:val="0"/>
              <w:marTop w:val="0"/>
              <w:marBottom w:val="0"/>
              <w:divBdr>
                <w:top w:val="none" w:sz="0" w:space="0" w:color="auto"/>
                <w:left w:val="none" w:sz="0" w:space="0" w:color="auto"/>
                <w:bottom w:val="none" w:sz="0" w:space="0" w:color="auto"/>
                <w:right w:val="none" w:sz="0" w:space="0" w:color="auto"/>
              </w:divBdr>
            </w:div>
          </w:divsChild>
        </w:div>
        <w:div w:id="1216040062">
          <w:marLeft w:val="0"/>
          <w:marRight w:val="0"/>
          <w:marTop w:val="0"/>
          <w:marBottom w:val="0"/>
          <w:divBdr>
            <w:top w:val="none" w:sz="0" w:space="0" w:color="auto"/>
            <w:left w:val="none" w:sz="0" w:space="0" w:color="auto"/>
            <w:bottom w:val="none" w:sz="0" w:space="0" w:color="auto"/>
            <w:right w:val="none" w:sz="0" w:space="0" w:color="auto"/>
          </w:divBdr>
        </w:div>
        <w:div w:id="396392643">
          <w:marLeft w:val="0"/>
          <w:marRight w:val="0"/>
          <w:marTop w:val="0"/>
          <w:marBottom w:val="0"/>
          <w:divBdr>
            <w:top w:val="none" w:sz="0" w:space="0" w:color="auto"/>
            <w:left w:val="none" w:sz="0" w:space="0" w:color="auto"/>
            <w:bottom w:val="none" w:sz="0" w:space="0" w:color="auto"/>
            <w:right w:val="none" w:sz="0" w:space="0" w:color="auto"/>
          </w:divBdr>
        </w:div>
        <w:div w:id="373889993">
          <w:marLeft w:val="0"/>
          <w:marRight w:val="0"/>
          <w:marTop w:val="0"/>
          <w:marBottom w:val="0"/>
          <w:divBdr>
            <w:top w:val="none" w:sz="0" w:space="0" w:color="auto"/>
            <w:left w:val="none" w:sz="0" w:space="0" w:color="auto"/>
            <w:bottom w:val="none" w:sz="0" w:space="0" w:color="auto"/>
            <w:right w:val="none" w:sz="0" w:space="0" w:color="auto"/>
          </w:divBdr>
          <w:divsChild>
            <w:div w:id="214201300">
              <w:marLeft w:val="0"/>
              <w:marRight w:val="0"/>
              <w:marTop w:val="0"/>
              <w:marBottom w:val="0"/>
              <w:divBdr>
                <w:top w:val="none" w:sz="0" w:space="0" w:color="auto"/>
                <w:left w:val="none" w:sz="0" w:space="0" w:color="auto"/>
                <w:bottom w:val="none" w:sz="0" w:space="0" w:color="auto"/>
                <w:right w:val="none" w:sz="0" w:space="0" w:color="auto"/>
              </w:divBdr>
            </w:div>
            <w:div w:id="1174103174">
              <w:marLeft w:val="0"/>
              <w:marRight w:val="0"/>
              <w:marTop w:val="0"/>
              <w:marBottom w:val="0"/>
              <w:divBdr>
                <w:top w:val="none" w:sz="0" w:space="0" w:color="auto"/>
                <w:left w:val="none" w:sz="0" w:space="0" w:color="auto"/>
                <w:bottom w:val="none" w:sz="0" w:space="0" w:color="auto"/>
                <w:right w:val="none" w:sz="0" w:space="0" w:color="auto"/>
              </w:divBdr>
            </w:div>
          </w:divsChild>
        </w:div>
        <w:div w:id="1939635386">
          <w:marLeft w:val="0"/>
          <w:marRight w:val="0"/>
          <w:marTop w:val="0"/>
          <w:marBottom w:val="0"/>
          <w:divBdr>
            <w:top w:val="none" w:sz="0" w:space="0" w:color="auto"/>
            <w:left w:val="none" w:sz="0" w:space="0" w:color="auto"/>
            <w:bottom w:val="none" w:sz="0" w:space="0" w:color="auto"/>
            <w:right w:val="none" w:sz="0" w:space="0" w:color="auto"/>
          </w:divBdr>
        </w:div>
      </w:divsChild>
    </w:div>
    <w:div w:id="709452605">
      <w:bodyDiv w:val="1"/>
      <w:marLeft w:val="0"/>
      <w:marRight w:val="0"/>
      <w:marTop w:val="0"/>
      <w:marBottom w:val="0"/>
      <w:divBdr>
        <w:top w:val="none" w:sz="0" w:space="0" w:color="auto"/>
        <w:left w:val="none" w:sz="0" w:space="0" w:color="auto"/>
        <w:bottom w:val="none" w:sz="0" w:space="0" w:color="auto"/>
        <w:right w:val="none" w:sz="0" w:space="0" w:color="auto"/>
      </w:divBdr>
      <w:divsChild>
        <w:div w:id="1441338409">
          <w:marLeft w:val="0"/>
          <w:marRight w:val="0"/>
          <w:marTop w:val="0"/>
          <w:marBottom w:val="0"/>
          <w:divBdr>
            <w:top w:val="none" w:sz="0" w:space="0" w:color="auto"/>
            <w:left w:val="none" w:sz="0" w:space="0" w:color="auto"/>
            <w:bottom w:val="none" w:sz="0" w:space="0" w:color="auto"/>
            <w:right w:val="none" w:sz="0" w:space="0" w:color="auto"/>
          </w:divBdr>
        </w:div>
        <w:div w:id="90930201">
          <w:marLeft w:val="0"/>
          <w:marRight w:val="0"/>
          <w:marTop w:val="0"/>
          <w:marBottom w:val="0"/>
          <w:divBdr>
            <w:top w:val="none" w:sz="0" w:space="0" w:color="auto"/>
            <w:left w:val="none" w:sz="0" w:space="0" w:color="auto"/>
            <w:bottom w:val="none" w:sz="0" w:space="0" w:color="auto"/>
            <w:right w:val="none" w:sz="0" w:space="0" w:color="auto"/>
          </w:divBdr>
        </w:div>
        <w:div w:id="1915355878">
          <w:marLeft w:val="0"/>
          <w:marRight w:val="0"/>
          <w:marTop w:val="0"/>
          <w:marBottom w:val="0"/>
          <w:divBdr>
            <w:top w:val="none" w:sz="0" w:space="0" w:color="auto"/>
            <w:left w:val="none" w:sz="0" w:space="0" w:color="auto"/>
            <w:bottom w:val="none" w:sz="0" w:space="0" w:color="auto"/>
            <w:right w:val="none" w:sz="0" w:space="0" w:color="auto"/>
          </w:divBdr>
          <w:divsChild>
            <w:div w:id="25958490">
              <w:marLeft w:val="0"/>
              <w:marRight w:val="0"/>
              <w:marTop w:val="0"/>
              <w:marBottom w:val="0"/>
              <w:divBdr>
                <w:top w:val="none" w:sz="0" w:space="0" w:color="auto"/>
                <w:left w:val="none" w:sz="0" w:space="0" w:color="auto"/>
                <w:bottom w:val="none" w:sz="0" w:space="0" w:color="auto"/>
                <w:right w:val="none" w:sz="0" w:space="0" w:color="auto"/>
              </w:divBdr>
            </w:div>
            <w:div w:id="1188718579">
              <w:marLeft w:val="0"/>
              <w:marRight w:val="0"/>
              <w:marTop w:val="0"/>
              <w:marBottom w:val="0"/>
              <w:divBdr>
                <w:top w:val="none" w:sz="0" w:space="0" w:color="auto"/>
                <w:left w:val="none" w:sz="0" w:space="0" w:color="auto"/>
                <w:bottom w:val="none" w:sz="0" w:space="0" w:color="auto"/>
                <w:right w:val="none" w:sz="0" w:space="0" w:color="auto"/>
              </w:divBdr>
            </w:div>
          </w:divsChild>
        </w:div>
        <w:div w:id="1281303509">
          <w:marLeft w:val="0"/>
          <w:marRight w:val="0"/>
          <w:marTop w:val="0"/>
          <w:marBottom w:val="0"/>
          <w:divBdr>
            <w:top w:val="none" w:sz="0" w:space="0" w:color="auto"/>
            <w:left w:val="none" w:sz="0" w:space="0" w:color="auto"/>
            <w:bottom w:val="none" w:sz="0" w:space="0" w:color="auto"/>
            <w:right w:val="none" w:sz="0" w:space="0" w:color="auto"/>
          </w:divBdr>
        </w:div>
      </w:divsChild>
    </w:div>
    <w:div w:id="1657030902">
      <w:bodyDiv w:val="1"/>
      <w:marLeft w:val="0"/>
      <w:marRight w:val="0"/>
      <w:marTop w:val="0"/>
      <w:marBottom w:val="0"/>
      <w:divBdr>
        <w:top w:val="none" w:sz="0" w:space="0" w:color="auto"/>
        <w:left w:val="none" w:sz="0" w:space="0" w:color="auto"/>
        <w:bottom w:val="none" w:sz="0" w:space="0" w:color="auto"/>
        <w:right w:val="none" w:sz="0" w:space="0" w:color="auto"/>
      </w:divBdr>
      <w:divsChild>
        <w:div w:id="2136212553">
          <w:marLeft w:val="0"/>
          <w:marRight w:val="0"/>
          <w:marTop w:val="0"/>
          <w:marBottom w:val="0"/>
          <w:divBdr>
            <w:top w:val="none" w:sz="0" w:space="0" w:color="auto"/>
            <w:left w:val="none" w:sz="0" w:space="0" w:color="auto"/>
            <w:bottom w:val="none" w:sz="0" w:space="0" w:color="auto"/>
            <w:right w:val="none" w:sz="0" w:space="0" w:color="auto"/>
          </w:divBdr>
        </w:div>
        <w:div w:id="2094423624">
          <w:marLeft w:val="0"/>
          <w:marRight w:val="0"/>
          <w:marTop w:val="0"/>
          <w:marBottom w:val="0"/>
          <w:divBdr>
            <w:top w:val="none" w:sz="0" w:space="0" w:color="auto"/>
            <w:left w:val="none" w:sz="0" w:space="0" w:color="auto"/>
            <w:bottom w:val="none" w:sz="0" w:space="0" w:color="auto"/>
            <w:right w:val="none" w:sz="0" w:space="0" w:color="auto"/>
          </w:divBdr>
        </w:div>
        <w:div w:id="1380321675">
          <w:marLeft w:val="0"/>
          <w:marRight w:val="0"/>
          <w:marTop w:val="0"/>
          <w:marBottom w:val="0"/>
          <w:divBdr>
            <w:top w:val="none" w:sz="0" w:space="0" w:color="auto"/>
            <w:left w:val="none" w:sz="0" w:space="0" w:color="auto"/>
            <w:bottom w:val="none" w:sz="0" w:space="0" w:color="auto"/>
            <w:right w:val="none" w:sz="0" w:space="0" w:color="auto"/>
          </w:divBdr>
          <w:divsChild>
            <w:div w:id="588923515">
              <w:marLeft w:val="0"/>
              <w:marRight w:val="0"/>
              <w:marTop w:val="0"/>
              <w:marBottom w:val="0"/>
              <w:divBdr>
                <w:top w:val="none" w:sz="0" w:space="0" w:color="auto"/>
                <w:left w:val="none" w:sz="0" w:space="0" w:color="auto"/>
                <w:bottom w:val="none" w:sz="0" w:space="0" w:color="auto"/>
                <w:right w:val="none" w:sz="0" w:space="0" w:color="auto"/>
              </w:divBdr>
            </w:div>
            <w:div w:id="194775420">
              <w:marLeft w:val="0"/>
              <w:marRight w:val="0"/>
              <w:marTop w:val="0"/>
              <w:marBottom w:val="0"/>
              <w:divBdr>
                <w:top w:val="none" w:sz="0" w:space="0" w:color="auto"/>
                <w:left w:val="none" w:sz="0" w:space="0" w:color="auto"/>
                <w:bottom w:val="none" w:sz="0" w:space="0" w:color="auto"/>
                <w:right w:val="none" w:sz="0" w:space="0" w:color="auto"/>
              </w:divBdr>
            </w:div>
          </w:divsChild>
        </w:div>
        <w:div w:id="626544128">
          <w:marLeft w:val="0"/>
          <w:marRight w:val="0"/>
          <w:marTop w:val="0"/>
          <w:marBottom w:val="0"/>
          <w:divBdr>
            <w:top w:val="none" w:sz="0" w:space="0" w:color="auto"/>
            <w:left w:val="none" w:sz="0" w:space="0" w:color="auto"/>
            <w:bottom w:val="none" w:sz="0" w:space="0" w:color="auto"/>
            <w:right w:val="none" w:sz="0" w:space="0" w:color="auto"/>
          </w:divBdr>
        </w:div>
      </w:divsChild>
    </w:div>
    <w:div w:id="1913814700">
      <w:bodyDiv w:val="1"/>
      <w:marLeft w:val="0"/>
      <w:marRight w:val="0"/>
      <w:marTop w:val="0"/>
      <w:marBottom w:val="0"/>
      <w:divBdr>
        <w:top w:val="none" w:sz="0" w:space="0" w:color="auto"/>
        <w:left w:val="none" w:sz="0" w:space="0" w:color="auto"/>
        <w:bottom w:val="none" w:sz="0" w:space="0" w:color="auto"/>
        <w:right w:val="none" w:sz="0" w:space="0" w:color="auto"/>
      </w:divBdr>
      <w:divsChild>
        <w:div w:id="1478377842">
          <w:marLeft w:val="0"/>
          <w:marRight w:val="0"/>
          <w:marTop w:val="0"/>
          <w:marBottom w:val="0"/>
          <w:divBdr>
            <w:top w:val="none" w:sz="0" w:space="0" w:color="auto"/>
            <w:left w:val="none" w:sz="0" w:space="0" w:color="auto"/>
            <w:bottom w:val="none" w:sz="0" w:space="0" w:color="auto"/>
            <w:right w:val="none" w:sz="0" w:space="0" w:color="auto"/>
          </w:divBdr>
          <w:divsChild>
            <w:div w:id="1914586376">
              <w:marLeft w:val="0"/>
              <w:marRight w:val="0"/>
              <w:marTop w:val="0"/>
              <w:marBottom w:val="0"/>
              <w:divBdr>
                <w:top w:val="none" w:sz="0" w:space="0" w:color="auto"/>
                <w:left w:val="none" w:sz="0" w:space="0" w:color="auto"/>
                <w:bottom w:val="none" w:sz="0" w:space="0" w:color="auto"/>
                <w:right w:val="none" w:sz="0" w:space="0" w:color="auto"/>
              </w:divBdr>
            </w:div>
          </w:divsChild>
        </w:div>
        <w:div w:id="1102535124">
          <w:marLeft w:val="0"/>
          <w:marRight w:val="0"/>
          <w:marTop w:val="0"/>
          <w:marBottom w:val="0"/>
          <w:divBdr>
            <w:top w:val="none" w:sz="0" w:space="0" w:color="auto"/>
            <w:left w:val="none" w:sz="0" w:space="0" w:color="auto"/>
            <w:bottom w:val="none" w:sz="0" w:space="0" w:color="auto"/>
            <w:right w:val="none" w:sz="0" w:space="0" w:color="auto"/>
          </w:divBdr>
        </w:div>
        <w:div w:id="735129451">
          <w:marLeft w:val="0"/>
          <w:marRight w:val="0"/>
          <w:marTop w:val="0"/>
          <w:marBottom w:val="0"/>
          <w:divBdr>
            <w:top w:val="none" w:sz="0" w:space="0" w:color="auto"/>
            <w:left w:val="none" w:sz="0" w:space="0" w:color="auto"/>
            <w:bottom w:val="none" w:sz="0" w:space="0" w:color="auto"/>
            <w:right w:val="none" w:sz="0" w:space="0" w:color="auto"/>
          </w:divBdr>
        </w:div>
        <w:div w:id="813524379">
          <w:marLeft w:val="0"/>
          <w:marRight w:val="0"/>
          <w:marTop w:val="0"/>
          <w:marBottom w:val="0"/>
          <w:divBdr>
            <w:top w:val="none" w:sz="0" w:space="0" w:color="auto"/>
            <w:left w:val="none" w:sz="0" w:space="0" w:color="auto"/>
            <w:bottom w:val="none" w:sz="0" w:space="0" w:color="auto"/>
            <w:right w:val="none" w:sz="0" w:space="0" w:color="auto"/>
          </w:divBdr>
          <w:divsChild>
            <w:div w:id="712458094">
              <w:marLeft w:val="0"/>
              <w:marRight w:val="0"/>
              <w:marTop w:val="0"/>
              <w:marBottom w:val="0"/>
              <w:divBdr>
                <w:top w:val="none" w:sz="0" w:space="0" w:color="auto"/>
                <w:left w:val="none" w:sz="0" w:space="0" w:color="auto"/>
                <w:bottom w:val="none" w:sz="0" w:space="0" w:color="auto"/>
                <w:right w:val="none" w:sz="0" w:space="0" w:color="auto"/>
              </w:divBdr>
            </w:div>
            <w:div w:id="202182455">
              <w:marLeft w:val="0"/>
              <w:marRight w:val="0"/>
              <w:marTop w:val="0"/>
              <w:marBottom w:val="0"/>
              <w:divBdr>
                <w:top w:val="none" w:sz="0" w:space="0" w:color="auto"/>
                <w:left w:val="none" w:sz="0" w:space="0" w:color="auto"/>
                <w:bottom w:val="none" w:sz="0" w:space="0" w:color="auto"/>
                <w:right w:val="none" w:sz="0" w:space="0" w:color="auto"/>
              </w:divBdr>
            </w:div>
          </w:divsChild>
        </w:div>
        <w:div w:id="77485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united-states-v-isgar?jxs=5cir&amp;p=1&amp;q=shell+company+AND+fraud+NOT+oil&amp;sort=relevance&amp;type=case&amp;ssr=false&amp;scrollTo=tru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asetext.com/case/united-states-v-isgar?jxs=5cir&amp;p=1&amp;q=shell+company+AND+fraud+NOT+oil&amp;sort=relevance&amp;type=case&amp;ssr=false&amp;scrollTo=true" TargetMode="External"/><Relationship Id="rId12" Type="http://schemas.openxmlformats.org/officeDocument/2006/relationships/hyperlink" Target="https://casetext.com/case/united-states-v-simpson-30?jxs=5cir&amp;p=1&amp;q=shell+company+AND+fraud+NOT+oil&amp;sort=relevance&amp;type=case&amp;ssr=false&amp;scrollTo=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etext.com/case/us-v-neal-37?jxs=5cir&amp;p=1&amp;q=shell+company+AND+fraud+NOT+oil&amp;sort=relevance&amp;type=case&amp;ssr=false&amp;scrollTo=true" TargetMode="External"/><Relationship Id="rId11" Type="http://schemas.openxmlformats.org/officeDocument/2006/relationships/hyperlink" Target="https://casetext.com/case/united-states-v-simpson-30?jxs=5cir&amp;p=1&amp;q=shell+company+AND+fraud+NOT+oil&amp;sort=relevance&amp;type=case&amp;ssr=false&amp;scrollTo=true" TargetMode="External"/><Relationship Id="rId5" Type="http://schemas.openxmlformats.org/officeDocument/2006/relationships/webSettings" Target="webSettings.xml"/><Relationship Id="rId10" Type="http://schemas.openxmlformats.org/officeDocument/2006/relationships/hyperlink" Target="https://casetext.com/case/united-states-v-kennedy-35?jxs=5cir&amp;p=1&amp;q=shell+company+AND+fraud+NOT+oil&amp;sort=relevance&amp;type=case&amp;ssr=false&amp;scrollTo=true" TargetMode="External"/><Relationship Id="rId4" Type="http://schemas.openxmlformats.org/officeDocument/2006/relationships/settings" Target="settings.xml"/><Relationship Id="rId9" Type="http://schemas.openxmlformats.org/officeDocument/2006/relationships/hyperlink" Target="https://casetext.com/case/united-states-v-kennedy-35?jxs=5cir&amp;p=1&amp;q=shell+company+AND+fraud+NOT+oil&amp;sort=relevance&amp;type=case&amp;ssr=false&amp;scrollTo=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6825</Characters>
  <Application>Microsoft Office Word</Application>
  <DocSecurity>0</DocSecurity>
  <Lines>148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dcterms:created xsi:type="dcterms:W3CDTF">2024-10-12T03:11:00Z</dcterms:created>
  <dcterms:modified xsi:type="dcterms:W3CDTF">2024-10-12T03:11:00Z</dcterms:modified>
</cp:coreProperties>
</file>