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3" w:rsidRPr="00AA6283" w:rsidRDefault="00AA6283" w:rsidP="00AA6283">
      <w:pPr>
        <w:pStyle w:val="Heading1"/>
        <w:rPr>
          <w:sz w:val="24"/>
        </w:rPr>
      </w:pPr>
      <w:r>
        <w:t> </w:t>
      </w:r>
      <w:r w:rsidRPr="00D42F55">
        <w:t>Stephen Anthony Mendel</w:t>
      </w:r>
    </w:p>
    <w:p w:rsidR="00457295" w:rsidRDefault="00457295" w:rsidP="00457295">
      <w:pPr>
        <w:pStyle w:val="Heading2"/>
        <w:rPr>
          <w:rFonts w:eastAsiaTheme="minorHAnsi"/>
        </w:rPr>
      </w:pPr>
      <w:r>
        <w:rPr>
          <w:rFonts w:eastAsiaTheme="minorHAnsi"/>
        </w:rPr>
        <w:t xml:space="preserve">Integrity Advisory Conclusions </w:t>
      </w:r>
    </w:p>
    <w:p w:rsidR="00457295" w:rsidRDefault="00457295" w:rsidP="00EB0597">
      <w:pPr>
        <w:rPr>
          <w:rFonts w:eastAsiaTheme="minorHAnsi"/>
        </w:rPr>
      </w:pPr>
      <w:r>
        <w:rPr>
          <w:rFonts w:eastAsiaTheme="minorHAnsi"/>
        </w:rPr>
        <w:tab/>
        <w:t xml:space="preserve">19419 </w:t>
      </w:r>
      <w:proofErr w:type="spellStart"/>
      <w:r>
        <w:rPr>
          <w:rFonts w:eastAsiaTheme="minorHAnsi"/>
        </w:rPr>
        <w:t>Kessington</w:t>
      </w:r>
      <w:proofErr w:type="spellEnd"/>
      <w:r>
        <w:rPr>
          <w:rFonts w:eastAsiaTheme="minorHAnsi"/>
        </w:rPr>
        <w:t xml:space="preserve"> Lane, Houston, </w:t>
      </w:r>
      <w:proofErr w:type="spellStart"/>
      <w:r>
        <w:rPr>
          <w:rFonts w:eastAsiaTheme="minorHAnsi"/>
        </w:rPr>
        <w:t>Tx</w:t>
      </w:r>
      <w:proofErr w:type="spellEnd"/>
      <w:r>
        <w:rPr>
          <w:rFonts w:eastAsiaTheme="minorHAnsi"/>
        </w:rPr>
        <w:t xml:space="preserve"> 77094</w:t>
      </w:r>
    </w:p>
    <w:p w:rsidR="000A4AC9" w:rsidRDefault="000A4AC9" w:rsidP="00457295">
      <w:pPr>
        <w:pStyle w:val="Heading2"/>
        <w:rPr>
          <w:rFonts w:eastAsiaTheme="minorHAnsi"/>
        </w:rPr>
      </w:pPr>
      <w:r w:rsidRPr="000A4AC9">
        <w:rPr>
          <w:rFonts w:eastAsiaTheme="minorHAnsi"/>
        </w:rPr>
        <w:t xml:space="preserve">Beach 84 Street I LLC </w:t>
      </w:r>
    </w:p>
    <w:p w:rsidR="00457295" w:rsidRPr="00457295" w:rsidRDefault="00457295" w:rsidP="00457295"/>
    <w:p w:rsidR="00D653E0" w:rsidRDefault="000A4AC9" w:rsidP="00457295">
      <w:pPr>
        <w:pStyle w:val="Heading2"/>
        <w:rPr>
          <w:rFonts w:eastAsiaTheme="minorHAnsi"/>
        </w:rPr>
      </w:pPr>
      <w:r w:rsidRPr="000A4AC9">
        <w:rPr>
          <w:rFonts w:eastAsiaTheme="minorHAnsi"/>
        </w:rPr>
        <w:t>MLK</w:t>
      </w:r>
      <w:r>
        <w:rPr>
          <w:rFonts w:eastAsiaTheme="minorHAnsi"/>
        </w:rPr>
        <w:t xml:space="preserve"> </w:t>
      </w:r>
      <w:r w:rsidRPr="000A4AC9">
        <w:rPr>
          <w:rFonts w:eastAsiaTheme="minorHAnsi"/>
        </w:rPr>
        <w:t>Associates LLC</w:t>
      </w:r>
    </w:p>
    <w:p w:rsidR="00457295" w:rsidRDefault="00457295" w:rsidP="00EB0597">
      <w:pPr>
        <w:rPr>
          <w:rFonts w:eastAsiaTheme="minorHAnsi"/>
          <w:szCs w:val="28"/>
        </w:rPr>
      </w:pPr>
    </w:p>
    <w:p w:rsidR="000F13AC" w:rsidRPr="00312CE7" w:rsidRDefault="000F13AC" w:rsidP="00457295">
      <w:pPr>
        <w:pStyle w:val="Heading2"/>
        <w:rPr>
          <w:rFonts w:eastAsiaTheme="minorHAnsi"/>
        </w:rPr>
      </w:pPr>
      <w:r w:rsidRPr="00312CE7">
        <w:rPr>
          <w:rFonts w:eastAsiaTheme="minorHAnsi"/>
        </w:rPr>
        <w:t xml:space="preserve">MLF-AR, LLC as assignee of The Mendel Law Firm </w:t>
      </w:r>
    </w:p>
    <w:p w:rsidR="00457295" w:rsidRDefault="00457295" w:rsidP="00EB0597">
      <w:pPr>
        <w:rPr>
          <w:rFonts w:eastAsia="Times New Roman" w:cs="Times New Roman"/>
          <w:szCs w:val="28"/>
        </w:rPr>
      </w:pPr>
    </w:p>
    <w:p w:rsidR="00D42F55" w:rsidRDefault="00D42F55" w:rsidP="00457295">
      <w:pPr>
        <w:pStyle w:val="Heading2"/>
        <w:rPr>
          <w:rFonts w:eastAsia="Times New Roman"/>
        </w:rPr>
      </w:pPr>
      <w:r w:rsidRPr="00312CE7">
        <w:rPr>
          <w:rFonts w:eastAsia="Times New Roman"/>
        </w:rPr>
        <w:t>The Mendel Law Firm, LP</w:t>
      </w:r>
    </w:p>
    <w:p w:rsidR="00457295" w:rsidRPr="00457295" w:rsidRDefault="00457295" w:rsidP="00457295">
      <w:bookmarkStart w:id="0" w:name="_GoBack"/>
      <w:bookmarkEnd w:id="0"/>
    </w:p>
    <w:p w:rsidR="00312CE7" w:rsidRDefault="00312CE7" w:rsidP="00457295">
      <w:pPr>
        <w:pStyle w:val="Heading2"/>
        <w:rPr>
          <w:rFonts w:eastAsiaTheme="minorHAnsi"/>
        </w:rPr>
      </w:pPr>
      <w:r w:rsidRPr="00312CE7">
        <w:rPr>
          <w:rFonts w:eastAsiaTheme="minorHAnsi"/>
        </w:rPr>
        <w:t xml:space="preserve">Beach 84 St I LLC, </w:t>
      </w:r>
    </w:p>
    <w:p w:rsidR="00457295" w:rsidRPr="00457295" w:rsidRDefault="00457295" w:rsidP="00457295"/>
    <w:p w:rsidR="00D42F55" w:rsidRDefault="00312CE7" w:rsidP="00457295">
      <w:pPr>
        <w:pStyle w:val="Heading2"/>
        <w:rPr>
          <w:rFonts w:eastAsiaTheme="minorHAnsi"/>
        </w:rPr>
      </w:pPr>
      <w:r w:rsidRPr="00312CE7">
        <w:rPr>
          <w:rFonts w:eastAsiaTheme="minorHAnsi"/>
        </w:rPr>
        <w:t>Mendel Group Inc.</w:t>
      </w:r>
    </w:p>
    <w:p w:rsidR="00457295" w:rsidRPr="00457295" w:rsidRDefault="00457295" w:rsidP="00457295"/>
    <w:p w:rsidR="002730E5" w:rsidRDefault="002730E5" w:rsidP="00457295">
      <w:pPr>
        <w:pStyle w:val="Heading2"/>
        <w:rPr>
          <w:rFonts w:eastAsiaTheme="minorHAnsi"/>
        </w:rPr>
      </w:pPr>
      <w:r w:rsidRPr="00EB0597">
        <w:rPr>
          <w:rFonts w:eastAsiaTheme="minorHAnsi"/>
        </w:rPr>
        <w:t>Family</w:t>
      </w:r>
      <w:r w:rsidRPr="00EB0597">
        <w:rPr>
          <w:rFonts w:eastAsiaTheme="minorHAnsi"/>
        </w:rPr>
        <w:t xml:space="preserve"> LLC</w:t>
      </w:r>
    </w:p>
    <w:p w:rsidR="00457295" w:rsidRPr="00457295" w:rsidRDefault="00457295" w:rsidP="00457295"/>
    <w:p w:rsidR="00EB0597" w:rsidRPr="00457295" w:rsidRDefault="00457295" w:rsidP="00457295">
      <w:pPr>
        <w:pStyle w:val="NoSpacing"/>
        <w:rPr>
          <w:color w:val="FF0000"/>
        </w:rPr>
      </w:pPr>
      <w:r w:rsidRPr="00457295">
        <w:rPr>
          <w:color w:val="FF0000"/>
        </w:rPr>
        <w:t xml:space="preserve">? </w:t>
      </w:r>
      <w:proofErr w:type="spellStart"/>
      <w:r w:rsidR="00EB0597" w:rsidRPr="00457295">
        <w:rPr>
          <w:color w:val="FF0000"/>
        </w:rPr>
        <w:t>Mendell</w:t>
      </w:r>
      <w:proofErr w:type="spellEnd"/>
      <w:r w:rsidR="00EB0597" w:rsidRPr="00457295">
        <w:rPr>
          <w:color w:val="FF0000"/>
        </w:rPr>
        <w:t xml:space="preserve"> Family GST Trust is a citizen of Florida</w:t>
      </w:r>
    </w:p>
    <w:p w:rsidR="00EB0597" w:rsidRPr="00457295" w:rsidRDefault="00457295" w:rsidP="00457295">
      <w:pPr>
        <w:pStyle w:val="NoSpacing"/>
        <w:rPr>
          <w:color w:val="FF0000"/>
        </w:rPr>
      </w:pPr>
      <w:r w:rsidRPr="00457295">
        <w:rPr>
          <w:color w:val="FF0000"/>
        </w:rPr>
        <w:t xml:space="preserve">? </w:t>
      </w:r>
      <w:r w:rsidR="00EB0597" w:rsidRPr="00457295">
        <w:rPr>
          <w:color w:val="FF0000"/>
        </w:rPr>
        <w:t>HEI Hospitality, LLC</w:t>
      </w:r>
    </w:p>
    <w:p w:rsidR="00EB0597" w:rsidRDefault="00457295" w:rsidP="00457295">
      <w:pPr>
        <w:pStyle w:val="NoSpacing"/>
        <w:rPr>
          <w:color w:val="FF0000"/>
        </w:rPr>
      </w:pPr>
      <w:r w:rsidRPr="00457295">
        <w:rPr>
          <w:color w:val="FF0000"/>
        </w:rPr>
        <w:t xml:space="preserve">? </w:t>
      </w:r>
      <w:r w:rsidR="00EB0597" w:rsidRPr="00457295">
        <w:rPr>
          <w:color w:val="FF0000"/>
        </w:rPr>
        <w:t>Georgia Assisted Living Federation, a Georgia corporation</w:t>
      </w:r>
    </w:p>
    <w:p w:rsidR="00457295" w:rsidRPr="00457295" w:rsidRDefault="00457295" w:rsidP="00457295">
      <w:pPr>
        <w:pStyle w:val="NoSpacing"/>
        <w:rPr>
          <w:color w:val="FF0000"/>
        </w:rPr>
      </w:pPr>
      <w:r w:rsidRPr="00457295">
        <w:rPr>
          <w:color w:val="FF0000"/>
        </w:rPr>
        <w:lastRenderedPageBreak/>
        <w:t xml:space="preserve">? 1031 Property Care, </w:t>
      </w:r>
      <w:proofErr w:type="gramStart"/>
      <w:r w:rsidRPr="00457295">
        <w:rPr>
          <w:color w:val="FF0000"/>
        </w:rPr>
        <w:t>LLC ?</w:t>
      </w:r>
      <w:proofErr w:type="gramEnd"/>
    </w:p>
    <w:p w:rsidR="00457295" w:rsidRPr="00457295" w:rsidRDefault="00457295" w:rsidP="00457295">
      <w:pPr>
        <w:pStyle w:val="NoSpacing"/>
        <w:rPr>
          <w:color w:val="FF0000"/>
        </w:rPr>
      </w:pPr>
      <w:r w:rsidRPr="00457295">
        <w:rPr>
          <w:color w:val="FF0000"/>
        </w:rPr>
        <w:t>? ARC DESIGNS, INC.,</w:t>
      </w:r>
    </w:p>
    <w:p w:rsidR="00EB0597" w:rsidRPr="00457295" w:rsidRDefault="00EB0597" w:rsidP="00457295">
      <w:pPr>
        <w:pStyle w:val="NoSpacing"/>
      </w:pPr>
      <w:r w:rsidRPr="00457295">
        <w:t xml:space="preserve">? S&amp;H </w:t>
      </w:r>
      <w:proofErr w:type="spellStart"/>
      <w:r w:rsidRPr="00457295">
        <w:t>Nadlan</w:t>
      </w:r>
      <w:proofErr w:type="spellEnd"/>
      <w:r w:rsidRPr="00457295">
        <w:t>, LLC</w:t>
      </w:r>
    </w:p>
    <w:p w:rsidR="00EB0597" w:rsidRPr="00457295" w:rsidRDefault="00EB0597" w:rsidP="00457295">
      <w:pPr>
        <w:pStyle w:val="Quote"/>
        <w:rPr>
          <w:color w:val="FF0000"/>
        </w:rPr>
      </w:pPr>
      <w:r w:rsidRPr="00457295">
        <w:rPr>
          <w:color w:val="FF0000"/>
        </w:rPr>
        <w:t xml:space="preserve">S&amp;H NADLAN, </w:t>
      </w:r>
      <w:proofErr w:type="gramStart"/>
      <w:r w:rsidRPr="00457295">
        <w:rPr>
          <w:color w:val="FF0000"/>
        </w:rPr>
        <w:t>LLC</w:t>
      </w:r>
      <w:proofErr w:type="gramEnd"/>
      <w:r w:rsidRPr="00457295">
        <w:rPr>
          <w:color w:val="FF0000"/>
        </w:rPr>
        <w:t xml:space="preserve"> and DROR ARGAMAN </w:t>
      </w:r>
    </w:p>
    <w:p w:rsidR="00EB0597" w:rsidRPr="00457295" w:rsidRDefault="00EB0597" w:rsidP="00457295">
      <w:pPr>
        <w:pStyle w:val="Quote"/>
        <w:rPr>
          <w:color w:val="FF0000"/>
        </w:rPr>
      </w:pPr>
      <w:r w:rsidRPr="00457295">
        <w:rPr>
          <w:color w:val="FF0000"/>
        </w:rPr>
        <w:t>Plaintiffs, v. MLK ASSOCIATES LLC, BEACH 84TH ST I, LLC, MENDEL GROUP INC., ABE MENDEL and STEVEN MENDEL, Defendants</w:t>
      </w:r>
    </w:p>
    <w:p w:rsidR="00EB0597" w:rsidRPr="00457295" w:rsidRDefault="00457295" w:rsidP="00457295">
      <w:pPr>
        <w:pStyle w:val="Quote"/>
        <w:rPr>
          <w:color w:val="FF0000"/>
        </w:rPr>
      </w:pPr>
      <w:r w:rsidRPr="00457295">
        <w:rPr>
          <w:color w:val="FF0000"/>
        </w:rPr>
        <w:t>Plaintiffs are</w:t>
      </w:r>
      <w:r w:rsidRPr="00457295">
        <w:rPr>
          <w:color w:val="FF0000"/>
        </w:rPr>
        <w:t xml:space="preserve"> </w:t>
      </w:r>
      <w:r w:rsidRPr="00457295">
        <w:rPr>
          <w:color w:val="FF0000"/>
        </w:rPr>
        <w:t xml:space="preserve">minority members of the </w:t>
      </w:r>
      <w:proofErr w:type="gramStart"/>
      <w:r w:rsidRPr="00457295">
        <w:rPr>
          <w:color w:val="FF0000"/>
        </w:rPr>
        <w:t>LLCs which</w:t>
      </w:r>
      <w:proofErr w:type="gramEnd"/>
      <w:r w:rsidRPr="00457295">
        <w:rPr>
          <w:color w:val="FF0000"/>
        </w:rPr>
        <w:t xml:space="preserve"> are limited</w:t>
      </w:r>
      <w:r w:rsidRPr="00457295">
        <w:rPr>
          <w:color w:val="FF0000"/>
        </w:rPr>
        <w:t xml:space="preserve"> </w:t>
      </w:r>
      <w:r w:rsidRPr="00457295">
        <w:rPr>
          <w:color w:val="FF0000"/>
        </w:rPr>
        <w:t>liability companies that hold the deeds to</w:t>
      </w:r>
      <w:r w:rsidRPr="00457295">
        <w:rPr>
          <w:color w:val="FF0000"/>
        </w:rPr>
        <w:t xml:space="preserve"> </w:t>
      </w:r>
      <w:r w:rsidRPr="00457295">
        <w:rPr>
          <w:color w:val="FF0000"/>
        </w:rPr>
        <w:t>properties in Rockaway Beach and Brooklyn, New</w:t>
      </w:r>
      <w:r w:rsidRPr="00457295">
        <w:rPr>
          <w:color w:val="FF0000"/>
        </w:rPr>
        <w:t xml:space="preserve"> </w:t>
      </w:r>
      <w:r w:rsidRPr="00457295">
        <w:rPr>
          <w:color w:val="FF0000"/>
        </w:rPr>
        <w:t>York. MGI manages those properties. In</w:t>
      </w:r>
      <w:r w:rsidRPr="00457295">
        <w:rPr>
          <w:color w:val="FF0000"/>
        </w:rPr>
        <w:t xml:space="preserve"> </w:t>
      </w:r>
      <w:r w:rsidRPr="00457295">
        <w:rPr>
          <w:color w:val="FF0000"/>
        </w:rPr>
        <w:t>February, March and May 2015, plaintiffs sent</w:t>
      </w:r>
      <w:r w:rsidRPr="00457295">
        <w:rPr>
          <w:color w:val="FF0000"/>
        </w:rPr>
        <w:t xml:space="preserve"> </w:t>
      </w:r>
      <w:r w:rsidRPr="00457295">
        <w:rPr>
          <w:color w:val="FF0000"/>
        </w:rPr>
        <w:t>MGI demands for inspection of the LLCs' books</w:t>
      </w:r>
      <w:r w:rsidRPr="00457295">
        <w:rPr>
          <w:color w:val="FF0000"/>
        </w:rPr>
        <w:t xml:space="preserve"> </w:t>
      </w:r>
      <w:r w:rsidRPr="00457295">
        <w:rPr>
          <w:color w:val="FF0000"/>
        </w:rPr>
        <w:t>and records, along with a demand for accountings.</w:t>
      </w:r>
    </w:p>
    <w:p w:rsidR="00EB0597" w:rsidRDefault="00EB0597" w:rsidP="00EB0597">
      <w:pPr>
        <w:rPr>
          <w:rFonts w:eastAsiaTheme="minorHAnsi"/>
          <w:szCs w:val="24"/>
        </w:rPr>
      </w:pPr>
    </w:p>
    <w:p w:rsidR="00EB0597" w:rsidRPr="002730E5" w:rsidRDefault="00EB0597" w:rsidP="00EB0597">
      <w:pPr>
        <w:rPr>
          <w:rFonts w:eastAsiaTheme="minorHAnsi"/>
          <w:szCs w:val="24"/>
        </w:rPr>
      </w:pPr>
    </w:p>
    <w:p w:rsidR="000A4AC9" w:rsidRDefault="000A4AC9" w:rsidP="000A4AC9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color w:val="212121"/>
          <w:sz w:val="29"/>
          <w:szCs w:val="21"/>
        </w:rPr>
      </w:pPr>
    </w:p>
    <w:p w:rsidR="000F13AC" w:rsidRDefault="002730E5" w:rsidP="000A4AC9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color w:val="212121"/>
          <w:sz w:val="21"/>
          <w:szCs w:val="21"/>
        </w:rPr>
      </w:pP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Abe Mendel </w:t>
      </w:r>
    </w:p>
    <w:p w:rsidR="000A4AC9" w:rsidRDefault="002730E5" w:rsidP="000A4AC9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color w:val="212121"/>
          <w:sz w:val="29"/>
          <w:szCs w:val="21"/>
        </w:rPr>
      </w:pP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Steven Mendel</w:t>
      </w:r>
    </w:p>
    <w:p w:rsidR="002730E5" w:rsidRDefault="002730E5" w:rsidP="002730E5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color w:val="212121"/>
          <w:sz w:val="29"/>
          <w:szCs w:val="21"/>
        </w:rPr>
      </w:pP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Steven </w:t>
      </w:r>
      <w:proofErr w:type="spellStart"/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Mendell</w:t>
      </w:r>
      <w:proofErr w:type="spellEnd"/>
    </w:p>
    <w:p w:rsidR="000A4AC9" w:rsidRDefault="002730E5" w:rsidP="000A4AC9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color w:val="212121"/>
          <w:sz w:val="29"/>
          <w:szCs w:val="21"/>
        </w:rPr>
      </w:pP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Gary </w:t>
      </w:r>
      <w:proofErr w:type="spellStart"/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Mendell</w:t>
      </w:r>
      <w:proofErr w:type="spellEnd"/>
    </w:p>
    <w:p w:rsidR="000A4AC9" w:rsidRDefault="000A4AC9" w:rsidP="000A4AC9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color w:val="212121"/>
          <w:sz w:val="29"/>
          <w:szCs w:val="21"/>
        </w:rPr>
      </w:pPr>
    </w:p>
    <w:p w:rsidR="000A4AC9" w:rsidRDefault="000A4AC9" w:rsidP="000A4AC9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color w:val="212121"/>
          <w:sz w:val="29"/>
          <w:szCs w:val="21"/>
        </w:rPr>
      </w:pPr>
    </w:p>
    <w:p w:rsidR="000A4AC9" w:rsidRDefault="000F13AC" w:rsidP="000F13AC">
      <w:pPr>
        <w:pStyle w:val="Heading2"/>
        <w:rPr>
          <w:rFonts w:ascii="TimesNewRomanPSMT" w:eastAsiaTheme="minorHAnsi" w:hAnsi="TimesNewRomanPSMT" w:cs="TimesNewRomanPSMT"/>
          <w:color w:val="212121"/>
          <w:sz w:val="29"/>
          <w:szCs w:val="21"/>
        </w:rPr>
      </w:pPr>
      <w:r w:rsidRPr="000A4AC9">
        <w:t xml:space="preserve">S&amp;H </w:t>
      </w:r>
      <w:proofErr w:type="spellStart"/>
      <w:r w:rsidRPr="000A4AC9">
        <w:t>Nadlan</w:t>
      </w:r>
      <w:proofErr w:type="spellEnd"/>
      <w:r w:rsidRPr="000A4AC9">
        <w:t>, LLC v. MLK Assocs. LLC 2016 N.Y. Slip Op. 30523</w:t>
      </w:r>
      <w:r>
        <w:t xml:space="preserve"> Decided Mar 7, 2016</w:t>
      </w:r>
    </w:p>
    <w:p w:rsidR="000A4AC9" w:rsidRDefault="000A4AC9" w:rsidP="000A4AC9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color w:val="212121"/>
          <w:sz w:val="29"/>
          <w:szCs w:val="21"/>
        </w:rPr>
      </w:pP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ABE MENDEL and STEVEN MENDEL, Defendants</w:t>
      </w:r>
    </w:p>
    <w:p w:rsidR="000A4AC9" w:rsidRPr="000F13AC" w:rsidRDefault="000A4AC9" w:rsidP="00457295">
      <w:pPr>
        <w:pStyle w:val="Quote"/>
        <w:rPr>
          <w:highlight w:val="yellow"/>
        </w:rPr>
      </w:pPr>
      <w:r>
        <w:t xml:space="preserve">In opposition, </w:t>
      </w:r>
      <w:r w:rsidRPr="000F13AC">
        <w:rPr>
          <w:highlight w:val="yellow"/>
        </w:rPr>
        <w:t>defendants have failed to produce</w:t>
      </w:r>
    </w:p>
    <w:p w:rsidR="000A4AC9" w:rsidRPr="000F13AC" w:rsidRDefault="000A4AC9" w:rsidP="00457295">
      <w:pPr>
        <w:pStyle w:val="Quote"/>
        <w:rPr>
          <w:highlight w:val="yellow"/>
        </w:rPr>
      </w:pPr>
      <w:proofErr w:type="gramStart"/>
      <w:r w:rsidRPr="000F13AC">
        <w:rPr>
          <w:highlight w:val="yellow"/>
        </w:rPr>
        <w:t>the</w:t>
      </w:r>
      <w:proofErr w:type="gramEnd"/>
      <w:r w:rsidRPr="000F13AC">
        <w:rPr>
          <w:highlight w:val="yellow"/>
        </w:rPr>
        <w:t xml:space="preserve"> operating agreements of the LLCs, or any</w:t>
      </w:r>
    </w:p>
    <w:p w:rsidR="000A4AC9" w:rsidRDefault="000A4AC9" w:rsidP="00457295">
      <w:pPr>
        <w:pStyle w:val="Quote"/>
      </w:pPr>
      <w:proofErr w:type="gramStart"/>
      <w:r w:rsidRPr="000F13AC">
        <w:rPr>
          <w:highlight w:val="yellow"/>
        </w:rPr>
        <w:t>other</w:t>
      </w:r>
      <w:proofErr w:type="gramEnd"/>
      <w:r w:rsidRPr="000F13AC">
        <w:rPr>
          <w:highlight w:val="yellow"/>
        </w:rPr>
        <w:t xml:space="preserve"> evidence,</w:t>
      </w:r>
      <w:r>
        <w:t xml:space="preserve"> to demonstrate that there are</w:t>
      </w:r>
    </w:p>
    <w:p w:rsidR="000A4AC9" w:rsidRDefault="000A4AC9" w:rsidP="00457295">
      <w:pPr>
        <w:pStyle w:val="Quote"/>
      </w:pPr>
      <w:proofErr w:type="gramStart"/>
      <w:r>
        <w:t>restrictions</w:t>
      </w:r>
      <w:proofErr w:type="gramEnd"/>
      <w:r>
        <w:t xml:space="preserve"> on plaintiffs' right to inspect the LLCs'</w:t>
      </w:r>
    </w:p>
    <w:p w:rsidR="000A4AC9" w:rsidRDefault="000A4AC9" w:rsidP="00457295">
      <w:pPr>
        <w:pStyle w:val="Quote"/>
      </w:pPr>
      <w:proofErr w:type="gramStart"/>
      <w:r>
        <w:t>books</w:t>
      </w:r>
      <w:proofErr w:type="gramEnd"/>
      <w:r>
        <w:t xml:space="preserve"> and records and/or restrictions on plaintiffs'</w:t>
      </w:r>
    </w:p>
    <w:p w:rsidR="000A4AC9" w:rsidRDefault="000A4AC9" w:rsidP="00457295">
      <w:pPr>
        <w:pStyle w:val="Quote"/>
      </w:pPr>
      <w:proofErr w:type="gramStart"/>
      <w:r>
        <w:t>right</w:t>
      </w:r>
      <w:proofErr w:type="gramEnd"/>
      <w:r>
        <w:t xml:space="preserve"> to contact the other LLC members.</w:t>
      </w:r>
      <w:r w:rsidRPr="000A4AC9">
        <w:t xml:space="preserve"> </w:t>
      </w:r>
    </w:p>
    <w:p w:rsidR="000A4AC9" w:rsidRDefault="000A4AC9" w:rsidP="000A4AC9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color w:val="212121"/>
          <w:sz w:val="21"/>
          <w:szCs w:val="21"/>
        </w:rPr>
      </w:pP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Accordingly, it is ORDERED that the branch of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plaintiffs S &amp; H </w:t>
      </w:r>
      <w:proofErr w:type="spellStart"/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Nadlan</w:t>
      </w:r>
      <w:proofErr w:type="spellEnd"/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, LLC and </w:t>
      </w:r>
      <w:proofErr w:type="spellStart"/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Dror</w:t>
      </w:r>
      <w:proofErr w:type="spellEnd"/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Argaman's</w:t>
      </w:r>
      <w:proofErr w:type="spellEnd"/>
    </w:p>
    <w:p w:rsidR="000A4AC9" w:rsidRDefault="000A4AC9" w:rsidP="000A4AC9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color w:val="212121"/>
          <w:sz w:val="21"/>
          <w:szCs w:val="21"/>
        </w:rPr>
      </w:pPr>
      <w:proofErr w:type="gramStart"/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motion</w:t>
      </w:r>
      <w:proofErr w:type="gramEnd"/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which seeks a declaratory judgment with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respect to the subject matter of the complaint's</w:t>
      </w:r>
    </w:p>
    <w:p w:rsidR="000A4AC9" w:rsidRDefault="000A4AC9" w:rsidP="000A4AC9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color w:val="212121"/>
          <w:sz w:val="21"/>
          <w:szCs w:val="21"/>
        </w:rPr>
      </w:pP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first and second causes of action is granted; and it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is further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ADJUDGED and DECLARED that plaintiffs are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entitled to a declaratory judgment against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defendants MLK Associates LLC, Beach 84 St I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LLC, Mendel Group Inc., Abe Mendel, and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Steven Mendel declaring that defendants must</w:t>
      </w:r>
    </w:p>
    <w:p w:rsidR="000A4AC9" w:rsidRDefault="000A4AC9" w:rsidP="000A4AC9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color w:val="212121"/>
          <w:sz w:val="21"/>
          <w:szCs w:val="21"/>
        </w:rPr>
      </w:pPr>
      <w:proofErr w:type="gramStart"/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grant</w:t>
      </w:r>
      <w:proofErr w:type="gramEnd"/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plaintiffs a full inspection of the books and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records of the Beach 84 Street I LLC and MLK</w:t>
      </w:r>
    </w:p>
    <w:p w:rsidR="000A4AC9" w:rsidRDefault="000A4AC9" w:rsidP="000A4AC9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color w:val="212121"/>
          <w:sz w:val="21"/>
          <w:szCs w:val="21"/>
        </w:rPr>
      </w:pPr>
      <w:proofErr w:type="gramStart"/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Associates LLC companies; and it is further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ORDERED that the branch of the motion that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seeks a full accounting of Beach 84 St I LLC is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granted; and it is further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ORDERED that the branch of the motion that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seeks a full accounting of MLK Associates LLC is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granted; and it is further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ORDERED and ADJUDGED that plaintiffs S &amp;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H </w:t>
      </w:r>
      <w:proofErr w:type="spellStart"/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Nadlan</w:t>
      </w:r>
      <w:proofErr w:type="spellEnd"/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, LLC and </w:t>
      </w:r>
      <w:proofErr w:type="spellStart"/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Dror</w:t>
      </w:r>
      <w:proofErr w:type="spellEnd"/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Argaman</w:t>
      </w:r>
      <w:proofErr w:type="spellEnd"/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, having an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address at __________, do recover from </w:t>
      </w:r>
      <w:r>
        <w:rPr>
          <w:rFonts w:ascii="TimesNewRomanPSMT" w:eastAsiaTheme="minorHAnsi" w:hAnsi="TimesNewRomanPSMT" w:cs="TimesNewRomanPSMT"/>
          <w:color w:val="757575"/>
          <w:sz w:val="17"/>
          <w:szCs w:val="17"/>
        </w:rPr>
        <w:t>*6</w:t>
      </w:r>
      <w:r w:rsidR="000F13AC">
        <w:rPr>
          <w:rFonts w:ascii="TimesNewRomanPSMT" w:eastAsiaTheme="minorHAnsi" w:hAnsi="TimesNewRomanPSMT" w:cs="TimesNewRomanPSMT"/>
          <w:color w:val="757575"/>
          <w:sz w:val="17"/>
          <w:szCs w:val="17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defendants MLK Associates LLC, Beach 84 St I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LLC, Mendel Group Inc., Abe Mendel, and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Steven Mendel, having an address at __________,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costs and disbursements as taxed by the Clerk</w:t>
      </w:r>
      <w:r w:rsidR="000F13AC">
        <w:rPr>
          <w:rFonts w:ascii="TimesNewRomanPSMT" w:eastAsiaTheme="minorHAnsi" w:hAnsi="TimesNewRomanPSMT" w:cs="TimesNewRomanPSMT"/>
          <w:color w:val="212121"/>
          <w:sz w:val="21"/>
          <w:szCs w:val="21"/>
        </w:rPr>
        <w:t xml:space="preserve"> </w:t>
      </w:r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upon presentation of an appropriate bill of costs.</w:t>
      </w:r>
      <w:proofErr w:type="gramEnd"/>
    </w:p>
    <w:p w:rsidR="000A4AC9" w:rsidRDefault="000A4AC9" w:rsidP="000A4AC9">
      <w:r>
        <w:rPr>
          <w:rFonts w:ascii="TimesNewRomanPSMT" w:eastAsiaTheme="minorHAnsi" w:hAnsi="TimesNewRomanPSMT" w:cs="TimesNewRomanPSMT"/>
          <w:color w:val="212121"/>
          <w:sz w:val="21"/>
          <w:szCs w:val="21"/>
        </w:rPr>
        <w:t>Dated: 3/7/16</w:t>
      </w:r>
    </w:p>
    <w:p w:rsidR="000A4AC9" w:rsidRDefault="000F13AC" w:rsidP="000F13AC">
      <w:pPr>
        <w:pStyle w:val="Heading2"/>
      </w:pPr>
      <w:r w:rsidRPr="000F13AC">
        <w:t>Plaintiffs Original Petition vs Lucia Silva 93347001</w:t>
      </w:r>
    </w:p>
    <w:p w:rsidR="000F13AC" w:rsidRDefault="000F13AC" w:rsidP="000F13AC">
      <w:r w:rsidRPr="000F13AC">
        <w:t>MLF-AR, LLC as assignee of The Mendel Law Firm</w:t>
      </w:r>
      <w:r>
        <w:t xml:space="preserve"> – lawsuit for unpaid fees</w:t>
      </w:r>
    </w:p>
    <w:p w:rsidR="000F13AC" w:rsidRDefault="000F13AC" w:rsidP="000F13AC"/>
    <w:p w:rsidR="000F13AC" w:rsidRDefault="000F13AC" w:rsidP="000F13AC"/>
    <w:p w:rsidR="000F13AC" w:rsidRDefault="000F13AC" w:rsidP="000F13AC"/>
    <w:p w:rsidR="000F13AC" w:rsidRPr="000F13AC" w:rsidRDefault="000F13AC" w:rsidP="000F13AC"/>
    <w:p w:rsidR="000F13AC" w:rsidRPr="000F13AC" w:rsidRDefault="000F13AC" w:rsidP="000F13AC"/>
    <w:sectPr w:rsidR="000F13AC" w:rsidRPr="000F13AC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686B"/>
    <w:multiLevelType w:val="hybridMultilevel"/>
    <w:tmpl w:val="48B6DBE4"/>
    <w:lvl w:ilvl="0" w:tplc="C58880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E1F"/>
    <w:multiLevelType w:val="hybridMultilevel"/>
    <w:tmpl w:val="6B8074D6"/>
    <w:lvl w:ilvl="0" w:tplc="5C9E7B8E">
      <w:start w:val="1"/>
      <w:numFmt w:val="upperRoman"/>
      <w:pStyle w:val="Heading1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309FE"/>
    <w:multiLevelType w:val="hybridMultilevel"/>
    <w:tmpl w:val="224E8106"/>
    <w:lvl w:ilvl="0" w:tplc="9000E7C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26B8A"/>
    <w:multiLevelType w:val="hybridMultilevel"/>
    <w:tmpl w:val="0A1051A6"/>
    <w:lvl w:ilvl="0" w:tplc="B03A2326">
      <w:start w:val="1"/>
      <w:numFmt w:val="upperRoman"/>
      <w:pStyle w:val="Footnot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0"/>
  </w:num>
  <w:num w:numId="12">
    <w:abstractNumId w:val="8"/>
  </w:num>
  <w:num w:numId="13">
    <w:abstractNumId w:val="6"/>
  </w:num>
  <w:num w:numId="14">
    <w:abstractNumId w:val="6"/>
  </w:num>
  <w:num w:numId="15">
    <w:abstractNumId w:val="6"/>
  </w:num>
  <w:num w:numId="16">
    <w:abstractNumId w:val="8"/>
  </w:num>
  <w:num w:numId="17">
    <w:abstractNumId w:val="6"/>
  </w:num>
  <w:num w:numId="18">
    <w:abstractNumId w:val="6"/>
  </w:num>
  <w:num w:numId="19">
    <w:abstractNumId w:val="6"/>
  </w:num>
  <w:num w:numId="20">
    <w:abstractNumId w:val="8"/>
  </w:num>
  <w:num w:numId="21">
    <w:abstractNumId w:val="6"/>
  </w:num>
  <w:num w:numId="22">
    <w:abstractNumId w:val="6"/>
  </w:num>
  <w:num w:numId="23">
    <w:abstractNumId w:val="6"/>
  </w:num>
  <w:num w:numId="24">
    <w:abstractNumId w:val="8"/>
  </w:num>
  <w:num w:numId="25">
    <w:abstractNumId w:val="6"/>
  </w:num>
  <w:num w:numId="26">
    <w:abstractNumId w:val="6"/>
  </w:num>
  <w:num w:numId="27">
    <w:abstractNumId w:val="6"/>
  </w:num>
  <w:num w:numId="28">
    <w:abstractNumId w:val="8"/>
  </w:num>
  <w:num w:numId="29">
    <w:abstractNumId w:val="6"/>
  </w:num>
  <w:num w:numId="30">
    <w:abstractNumId w:val="9"/>
  </w:num>
  <w:num w:numId="31">
    <w:abstractNumId w:val="9"/>
  </w:num>
  <w:num w:numId="32">
    <w:abstractNumId w:val="9"/>
  </w:num>
  <w:num w:numId="33">
    <w:abstractNumId w:val="8"/>
  </w:num>
  <w:num w:numId="34">
    <w:abstractNumId w:val="0"/>
  </w:num>
  <w:num w:numId="35">
    <w:abstractNumId w:val="0"/>
  </w:num>
  <w:num w:numId="36">
    <w:abstractNumId w:val="8"/>
  </w:num>
  <w:num w:numId="37">
    <w:abstractNumId w:val="0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"/>
  </w:num>
  <w:num w:numId="41">
    <w:abstractNumId w:val="3"/>
  </w:num>
  <w:num w:numId="42">
    <w:abstractNumId w:val="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D9"/>
    <w:rsid w:val="00003545"/>
    <w:rsid w:val="0002109F"/>
    <w:rsid w:val="00022DA9"/>
    <w:rsid w:val="00091071"/>
    <w:rsid w:val="000A4AC9"/>
    <w:rsid w:val="000D0E94"/>
    <w:rsid w:val="000F13AC"/>
    <w:rsid w:val="000F738F"/>
    <w:rsid w:val="00124D37"/>
    <w:rsid w:val="001A3F32"/>
    <w:rsid w:val="001D0B0A"/>
    <w:rsid w:val="001D6254"/>
    <w:rsid w:val="002132E1"/>
    <w:rsid w:val="00222515"/>
    <w:rsid w:val="00237452"/>
    <w:rsid w:val="0024453E"/>
    <w:rsid w:val="002730E5"/>
    <w:rsid w:val="002B0C9B"/>
    <w:rsid w:val="002F6C12"/>
    <w:rsid w:val="00312CE7"/>
    <w:rsid w:val="003A6462"/>
    <w:rsid w:val="003F4B40"/>
    <w:rsid w:val="00424FE8"/>
    <w:rsid w:val="00457295"/>
    <w:rsid w:val="005157AC"/>
    <w:rsid w:val="00537D5C"/>
    <w:rsid w:val="0055091F"/>
    <w:rsid w:val="005B4D26"/>
    <w:rsid w:val="005C53EF"/>
    <w:rsid w:val="005E0485"/>
    <w:rsid w:val="00632E36"/>
    <w:rsid w:val="00644CA5"/>
    <w:rsid w:val="00653D93"/>
    <w:rsid w:val="006A479E"/>
    <w:rsid w:val="006B3E57"/>
    <w:rsid w:val="007158F1"/>
    <w:rsid w:val="00721920"/>
    <w:rsid w:val="00727055"/>
    <w:rsid w:val="007322BB"/>
    <w:rsid w:val="00756AA9"/>
    <w:rsid w:val="0079737C"/>
    <w:rsid w:val="007B2354"/>
    <w:rsid w:val="007C1128"/>
    <w:rsid w:val="008303EB"/>
    <w:rsid w:val="00855E0E"/>
    <w:rsid w:val="008B060C"/>
    <w:rsid w:val="008B0BF5"/>
    <w:rsid w:val="00932191"/>
    <w:rsid w:val="00950776"/>
    <w:rsid w:val="00974001"/>
    <w:rsid w:val="00975538"/>
    <w:rsid w:val="00977F59"/>
    <w:rsid w:val="009A3184"/>
    <w:rsid w:val="009A77A7"/>
    <w:rsid w:val="009D75C0"/>
    <w:rsid w:val="00A17B47"/>
    <w:rsid w:val="00A237F9"/>
    <w:rsid w:val="00A450D9"/>
    <w:rsid w:val="00A82FAD"/>
    <w:rsid w:val="00AA17D1"/>
    <w:rsid w:val="00AA6283"/>
    <w:rsid w:val="00AB0B1E"/>
    <w:rsid w:val="00AC0531"/>
    <w:rsid w:val="00B02C6D"/>
    <w:rsid w:val="00B32522"/>
    <w:rsid w:val="00B4440D"/>
    <w:rsid w:val="00B64FE7"/>
    <w:rsid w:val="00B67DE7"/>
    <w:rsid w:val="00B87F04"/>
    <w:rsid w:val="00C10E52"/>
    <w:rsid w:val="00C33529"/>
    <w:rsid w:val="00C42C11"/>
    <w:rsid w:val="00C67045"/>
    <w:rsid w:val="00CB15BE"/>
    <w:rsid w:val="00CB2AE0"/>
    <w:rsid w:val="00D42F55"/>
    <w:rsid w:val="00D46133"/>
    <w:rsid w:val="00D653E0"/>
    <w:rsid w:val="00DE5A41"/>
    <w:rsid w:val="00E65E37"/>
    <w:rsid w:val="00EB0597"/>
    <w:rsid w:val="00EE557C"/>
    <w:rsid w:val="00F205B1"/>
    <w:rsid w:val="00FA0BC4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BB"/>
    <w:pPr>
      <w:widowControl w:val="0"/>
      <w:spacing w:before="120" w:after="240" w:line="480" w:lineRule="auto"/>
      <w:ind w:firstLine="720"/>
      <w:jc w:val="both"/>
    </w:pPr>
    <w:rPr>
      <w:rFonts w:ascii="Times New Roman" w:eastAsiaTheme="minorEastAsia" w:hAnsi="Times New Roman"/>
      <w:sz w:val="24"/>
      <w:szCs w:val="22"/>
    </w:rPr>
  </w:style>
  <w:style w:type="paragraph" w:styleId="Heading1">
    <w:name w:val="heading 1"/>
    <w:basedOn w:val="Title"/>
    <w:next w:val="Normal"/>
    <w:link w:val="Heading1Char"/>
    <w:autoRedefine/>
    <w:qFormat/>
    <w:rsid w:val="007322BB"/>
    <w:pPr>
      <w:widowControl/>
      <w:numPr>
        <w:numId w:val="42"/>
      </w:numPr>
      <w:pBdr>
        <w:bottom w:val="none" w:sz="0" w:space="0" w:color="auto"/>
      </w:pBdr>
      <w:spacing w:after="240" w:line="240" w:lineRule="auto"/>
      <w:ind w:right="0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22BB"/>
    <w:pPr>
      <w:spacing w:line="240" w:lineRule="auto"/>
      <w:ind w:left="360" w:right="187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A17D1"/>
    <w:pPr>
      <w:keepNext/>
      <w:numPr>
        <w:numId w:val="43"/>
      </w:numPr>
      <w:spacing w:before="100" w:beforeAutospacing="1" w:after="100" w:afterAutospacing="1" w:line="360" w:lineRule="auto"/>
      <w:jc w:val="left"/>
      <w:outlineLvl w:val="2"/>
    </w:pPr>
    <w:rPr>
      <w:rFonts w:eastAsia="Calibri" w:cs="Times New Roman"/>
      <w:b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457295"/>
    <w:pPr>
      <w:spacing w:before="120" w:after="120"/>
      <w:ind w:left="1440" w:right="1440"/>
      <w:contextualSpacing/>
      <w:jc w:val="both"/>
    </w:pPr>
    <w:rPr>
      <w:rFonts w:ascii="Times New Roman" w:hAnsi="Times New Roman"/>
      <w:bCs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457295"/>
    <w:rPr>
      <w:rFonts w:ascii="Times New Roman" w:hAnsi="Times New Roman"/>
      <w:bCs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322BB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2BB"/>
    <w:rPr>
      <w:rFonts w:ascii="Times New Roman" w:eastAsiaTheme="minorEastAsia" w:hAnsi="Times New Roman"/>
      <w:b/>
      <w:sz w:val="28"/>
      <w:szCs w:val="22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457295"/>
    <w:pPr>
      <w:widowControl w:val="0"/>
      <w:autoSpaceDE w:val="0"/>
      <w:autoSpaceDN w:val="0"/>
      <w:adjustRightInd w:val="0"/>
      <w:spacing w:before="120" w:after="120"/>
    </w:pPr>
    <w:rPr>
      <w:rFonts w:ascii="Times New Roman" w:hAnsi="Times New Roman"/>
      <w:bCs/>
      <w:color w:val="212121"/>
      <w:sz w:val="24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AA17D1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7322BB"/>
    <w:pPr>
      <w:numPr>
        <w:numId w:val="17"/>
      </w:numPr>
      <w:spacing w:before="0" w:after="0" w:line="240" w:lineRule="auto"/>
      <w:ind w:left="720" w:hanging="360"/>
    </w:pPr>
    <w:rPr>
      <w:rFonts w:asciiTheme="minorHAnsi" w:eastAsia="Calibri" w:hAnsiTheme="minorHAnsi"/>
      <w:sz w:val="20"/>
      <w:szCs w:val="24"/>
    </w:rPr>
  </w:style>
  <w:style w:type="character" w:customStyle="1" w:styleId="FootnoteChar">
    <w:name w:val="Footnote Char"/>
    <w:link w:val="Footnote"/>
    <w:rsid w:val="007322BB"/>
    <w:rPr>
      <w:rFonts w:eastAsia="Calibri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BB"/>
    <w:pPr>
      <w:widowControl w:val="0"/>
      <w:spacing w:before="120" w:after="240" w:line="480" w:lineRule="auto"/>
      <w:ind w:firstLine="720"/>
      <w:jc w:val="both"/>
    </w:pPr>
    <w:rPr>
      <w:rFonts w:ascii="Times New Roman" w:eastAsiaTheme="minorEastAsia" w:hAnsi="Times New Roman"/>
      <w:sz w:val="24"/>
      <w:szCs w:val="22"/>
    </w:rPr>
  </w:style>
  <w:style w:type="paragraph" w:styleId="Heading1">
    <w:name w:val="heading 1"/>
    <w:basedOn w:val="Title"/>
    <w:next w:val="Normal"/>
    <w:link w:val="Heading1Char"/>
    <w:autoRedefine/>
    <w:qFormat/>
    <w:rsid w:val="007322BB"/>
    <w:pPr>
      <w:widowControl/>
      <w:numPr>
        <w:numId w:val="42"/>
      </w:numPr>
      <w:pBdr>
        <w:bottom w:val="none" w:sz="0" w:space="0" w:color="auto"/>
      </w:pBdr>
      <w:spacing w:after="240" w:line="240" w:lineRule="auto"/>
      <w:ind w:right="0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22BB"/>
    <w:pPr>
      <w:spacing w:line="240" w:lineRule="auto"/>
      <w:ind w:left="360" w:right="187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A17D1"/>
    <w:pPr>
      <w:keepNext/>
      <w:numPr>
        <w:numId w:val="43"/>
      </w:numPr>
      <w:spacing w:before="100" w:beforeAutospacing="1" w:after="100" w:afterAutospacing="1" w:line="360" w:lineRule="auto"/>
      <w:jc w:val="left"/>
      <w:outlineLvl w:val="2"/>
    </w:pPr>
    <w:rPr>
      <w:rFonts w:eastAsia="Calibri" w:cs="Times New Roman"/>
      <w:b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457295"/>
    <w:pPr>
      <w:spacing w:before="120" w:after="120"/>
      <w:ind w:left="1440" w:right="1440"/>
      <w:contextualSpacing/>
      <w:jc w:val="both"/>
    </w:pPr>
    <w:rPr>
      <w:rFonts w:ascii="Times New Roman" w:hAnsi="Times New Roman"/>
      <w:bCs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457295"/>
    <w:rPr>
      <w:rFonts w:ascii="Times New Roman" w:hAnsi="Times New Roman"/>
      <w:bCs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322BB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2BB"/>
    <w:rPr>
      <w:rFonts w:ascii="Times New Roman" w:eastAsiaTheme="minorEastAsia" w:hAnsi="Times New Roman"/>
      <w:b/>
      <w:sz w:val="28"/>
      <w:szCs w:val="22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457295"/>
    <w:pPr>
      <w:widowControl w:val="0"/>
      <w:autoSpaceDE w:val="0"/>
      <w:autoSpaceDN w:val="0"/>
      <w:adjustRightInd w:val="0"/>
      <w:spacing w:before="120" w:after="120"/>
    </w:pPr>
    <w:rPr>
      <w:rFonts w:ascii="Times New Roman" w:hAnsi="Times New Roman"/>
      <w:bCs/>
      <w:color w:val="212121"/>
      <w:sz w:val="24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AA17D1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7322BB"/>
    <w:pPr>
      <w:numPr>
        <w:numId w:val="17"/>
      </w:numPr>
      <w:spacing w:before="0" w:after="0" w:line="240" w:lineRule="auto"/>
      <w:ind w:left="720" w:hanging="360"/>
    </w:pPr>
    <w:rPr>
      <w:rFonts w:asciiTheme="minorHAnsi" w:eastAsia="Calibri" w:hAnsiTheme="minorHAnsi"/>
      <w:sz w:val="20"/>
      <w:szCs w:val="24"/>
    </w:rPr>
  </w:style>
  <w:style w:type="character" w:customStyle="1" w:styleId="FootnoteChar">
    <w:name w:val="Footnote Char"/>
    <w:link w:val="Footnote"/>
    <w:rsid w:val="007322BB"/>
    <w:rPr>
      <w:rFonts w:eastAsia="Calibri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Stephen Anthony Mendel</vt:lpstr>
      <vt:lpstr>    Integrity Advisory Conclusions </vt:lpstr>
      <vt:lpstr>    Beach 84 Street I LLC </vt:lpstr>
      <vt:lpstr>    MLK Associates LLC</vt:lpstr>
      <vt:lpstr>    MLF-AR, LLC as assignee of The Mendel Law Firm </vt:lpstr>
      <vt:lpstr>    The Mendel Law Firm, LP</vt:lpstr>
      <vt:lpstr>    Beach 84 St I LLC, </vt:lpstr>
      <vt:lpstr>    Mendel Group Inc.</vt:lpstr>
      <vt:lpstr>    Family LLC</vt:lpstr>
      <vt:lpstr>    S&amp;H Nadlan, LLC v. MLK Assocs. LLC 2016 N.Y. Slip Op. 30523 Decided Mar 7, 2016</vt:lpstr>
      <vt:lpstr>    Plaintiffs Original Petition vs Lucia Silva 93347001</vt:lpstr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Rik</cp:lastModifiedBy>
  <cp:revision>7</cp:revision>
  <dcterms:created xsi:type="dcterms:W3CDTF">2024-09-08T14:05:00Z</dcterms:created>
  <dcterms:modified xsi:type="dcterms:W3CDTF">2024-10-03T20:21:00Z</dcterms:modified>
</cp:coreProperties>
</file>